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F22B" w14:textId="6D403FDE" w:rsidR="007B67C3" w:rsidRPr="00375186" w:rsidRDefault="00924037" w:rsidP="0083415C">
      <w:pPr>
        <w:spacing w:line="276" w:lineRule="auto"/>
        <w:jc w:val="both"/>
        <w:rPr>
          <w:rFonts w:ascii="Arial" w:hAnsi="Arial" w:cs="Arial"/>
          <w:b/>
          <w:lang w:val="en-GB"/>
        </w:rPr>
      </w:pPr>
      <w:r>
        <w:rPr>
          <w:rFonts w:ascii="Arial" w:hAnsi="Arial" w:cs="Arial"/>
          <w:b/>
          <w:lang w:val="en-GB"/>
        </w:rPr>
        <w:t>Long-term exposure to</w:t>
      </w:r>
      <w:r w:rsidR="00FA7810">
        <w:rPr>
          <w:rFonts w:ascii="Arial" w:hAnsi="Arial" w:cs="Arial"/>
          <w:b/>
          <w:lang w:val="en-GB"/>
        </w:rPr>
        <w:t xml:space="preserve"> residential</w:t>
      </w:r>
      <w:r w:rsidR="005A452C">
        <w:rPr>
          <w:rFonts w:ascii="Arial" w:hAnsi="Arial" w:cs="Arial"/>
          <w:b/>
          <w:lang w:val="en-GB"/>
        </w:rPr>
        <w:t xml:space="preserve"> green spaces</w:t>
      </w:r>
      <w:r w:rsidR="007B67C3" w:rsidRPr="00375186">
        <w:rPr>
          <w:rFonts w:ascii="Arial" w:hAnsi="Arial" w:cs="Arial"/>
          <w:b/>
          <w:lang w:val="en-GB"/>
        </w:rPr>
        <w:t xml:space="preserve"> and </w:t>
      </w:r>
      <w:r w:rsidR="002907F8" w:rsidRPr="00375186">
        <w:rPr>
          <w:rFonts w:ascii="Arial" w:hAnsi="Arial" w:cs="Arial"/>
          <w:b/>
          <w:lang w:val="en-GB"/>
        </w:rPr>
        <w:t xml:space="preserve">site-specific </w:t>
      </w:r>
      <w:r w:rsidR="007B67C3" w:rsidRPr="00375186">
        <w:rPr>
          <w:rFonts w:ascii="Arial" w:hAnsi="Arial" w:cs="Arial"/>
          <w:b/>
          <w:lang w:val="en-GB"/>
        </w:rPr>
        <w:t>cancer mortality</w:t>
      </w:r>
      <w:r w:rsidR="00EF1D0D" w:rsidRPr="00375186">
        <w:rPr>
          <w:rFonts w:ascii="Arial" w:hAnsi="Arial" w:cs="Arial"/>
          <w:b/>
          <w:lang w:val="en-GB"/>
        </w:rPr>
        <w:t xml:space="preserve"> in urban Belgium</w:t>
      </w:r>
      <w:r w:rsidR="007B67C3" w:rsidRPr="00375186">
        <w:rPr>
          <w:rFonts w:ascii="Arial" w:hAnsi="Arial" w:cs="Arial"/>
          <w:b/>
          <w:lang w:val="en-GB"/>
        </w:rPr>
        <w:t xml:space="preserve">: a </w:t>
      </w:r>
      <w:r w:rsidR="0026128D" w:rsidRPr="00375186">
        <w:rPr>
          <w:rFonts w:ascii="Arial" w:hAnsi="Arial" w:cs="Arial"/>
          <w:b/>
          <w:lang w:val="en-GB"/>
        </w:rPr>
        <w:t xml:space="preserve">13-year follow-up </w:t>
      </w:r>
      <w:r w:rsidR="007B67C3" w:rsidRPr="00375186">
        <w:rPr>
          <w:rFonts w:ascii="Arial" w:hAnsi="Arial" w:cs="Arial"/>
          <w:b/>
          <w:lang w:val="en-GB"/>
        </w:rPr>
        <w:t>cohort study</w:t>
      </w:r>
    </w:p>
    <w:p w14:paraId="11C4CEB0" w14:textId="2B326252" w:rsidR="007B67C3" w:rsidRPr="00B5658C" w:rsidRDefault="007B67C3" w:rsidP="0083415C">
      <w:pPr>
        <w:pStyle w:val="NormalWeb"/>
        <w:spacing w:line="276" w:lineRule="auto"/>
        <w:jc w:val="both"/>
        <w:rPr>
          <w:vertAlign w:val="superscript"/>
          <w:lang w:val="en-GB"/>
        </w:rPr>
      </w:pPr>
      <w:proofErr w:type="spellStart"/>
      <w:r w:rsidRPr="003C6A66">
        <w:rPr>
          <w:rFonts w:ascii="Calibri" w:hAnsi="Calibri" w:cs="Calibri"/>
          <w:lang w:val="en-GB"/>
        </w:rPr>
        <w:t>Lucía</w:t>
      </w:r>
      <w:proofErr w:type="spellEnd"/>
      <w:r w:rsidRPr="003C6A66">
        <w:rPr>
          <w:rFonts w:ascii="Calibri" w:hAnsi="Calibri" w:cs="Calibri"/>
          <w:lang w:val="en-GB"/>
        </w:rPr>
        <w:t xml:space="preserve"> Rodriguez-Loureiro</w:t>
      </w:r>
      <w:r w:rsidRPr="003C6A66">
        <w:rPr>
          <w:rFonts w:ascii="Calibri" w:hAnsi="Calibri" w:cs="Calibri"/>
          <w:position w:val="8"/>
          <w:sz w:val="16"/>
          <w:szCs w:val="16"/>
          <w:lang w:val="en-GB"/>
        </w:rPr>
        <w:t>1</w:t>
      </w:r>
      <w:r w:rsidRPr="003C6A66">
        <w:rPr>
          <w:rFonts w:ascii="Calibri" w:hAnsi="Calibri" w:cs="Calibri"/>
          <w:lang w:val="en-GB"/>
        </w:rPr>
        <w:t>*,</w:t>
      </w:r>
      <w:r w:rsidR="00B5658C">
        <w:rPr>
          <w:rFonts w:ascii="Calibri" w:hAnsi="Calibri" w:cs="Calibri"/>
          <w:lang w:val="en-GB"/>
        </w:rPr>
        <w:t xml:space="preserve"> </w:t>
      </w:r>
      <w:proofErr w:type="spellStart"/>
      <w:r w:rsidR="00B5658C">
        <w:rPr>
          <w:rFonts w:ascii="Calibri" w:hAnsi="Calibri" w:cs="Calibri"/>
          <w:lang w:val="en-GB"/>
        </w:rPr>
        <w:t>Freija</w:t>
      </w:r>
      <w:proofErr w:type="spellEnd"/>
      <w:r w:rsidR="00B5658C">
        <w:rPr>
          <w:rFonts w:ascii="Calibri" w:hAnsi="Calibri" w:cs="Calibri"/>
          <w:lang w:val="en-GB"/>
        </w:rPr>
        <w:t xml:space="preserve"> Verdoodt</w:t>
      </w:r>
      <w:r w:rsidR="00B5658C">
        <w:rPr>
          <w:rFonts w:ascii="Calibri" w:hAnsi="Calibri" w:cs="Calibri"/>
          <w:vertAlign w:val="superscript"/>
          <w:lang w:val="en-GB"/>
        </w:rPr>
        <w:t>2</w:t>
      </w:r>
      <w:r w:rsidR="00B5658C">
        <w:rPr>
          <w:rFonts w:ascii="Calibri" w:hAnsi="Calibri" w:cs="Calibri"/>
          <w:lang w:val="en-GB"/>
        </w:rPr>
        <w:t>,</w:t>
      </w:r>
      <w:r w:rsidRPr="003C6A66">
        <w:rPr>
          <w:rFonts w:ascii="Calibri" w:hAnsi="Calibri" w:cs="Calibri"/>
          <w:lang w:val="en-GB"/>
        </w:rPr>
        <w:t xml:space="preserve"> </w:t>
      </w:r>
      <w:proofErr w:type="spellStart"/>
      <w:r w:rsidRPr="003C6A66">
        <w:rPr>
          <w:rFonts w:ascii="Calibri" w:hAnsi="Calibri" w:cs="Calibri"/>
          <w:lang w:val="en-GB"/>
        </w:rPr>
        <w:t>Wouter</w:t>
      </w:r>
      <w:proofErr w:type="spellEnd"/>
      <w:r w:rsidRPr="003C6A66">
        <w:rPr>
          <w:rFonts w:ascii="Calibri" w:hAnsi="Calibri" w:cs="Calibri"/>
          <w:lang w:val="en-GB"/>
        </w:rPr>
        <w:t xml:space="preserve"> Lefebvre</w:t>
      </w:r>
      <w:r w:rsidR="00B5658C">
        <w:rPr>
          <w:rFonts w:ascii="Calibri" w:hAnsi="Calibri" w:cs="Calibri"/>
          <w:position w:val="8"/>
          <w:sz w:val="16"/>
          <w:szCs w:val="16"/>
          <w:lang w:val="en-GB"/>
        </w:rPr>
        <w:t>3</w:t>
      </w:r>
      <w:r w:rsidRPr="003C6A66">
        <w:rPr>
          <w:rFonts w:ascii="Calibri" w:hAnsi="Calibri" w:cs="Calibri"/>
          <w:lang w:val="en-GB"/>
        </w:rPr>
        <w:t xml:space="preserve">, Charlotte </w:t>
      </w:r>
      <w:proofErr w:type="spellStart"/>
      <w:r w:rsidRPr="003C6A66">
        <w:rPr>
          <w:rFonts w:ascii="Calibri" w:hAnsi="Calibri" w:cs="Calibri"/>
          <w:lang w:val="en-GB"/>
        </w:rPr>
        <w:t>Vanpoucke</w:t>
      </w:r>
      <w:proofErr w:type="spellEnd"/>
      <w:r w:rsidR="00B5658C">
        <w:rPr>
          <w:rFonts w:ascii="Calibri" w:hAnsi="Calibri" w:cs="Calibri"/>
          <w:position w:val="8"/>
          <w:sz w:val="16"/>
          <w:szCs w:val="16"/>
          <w:lang w:val="en-GB"/>
        </w:rPr>
        <w:t>4</w:t>
      </w:r>
      <w:r w:rsidRPr="003C6A66">
        <w:rPr>
          <w:rFonts w:ascii="Calibri" w:hAnsi="Calibri" w:cs="Calibri"/>
          <w:lang w:val="en-GB"/>
        </w:rPr>
        <w:t xml:space="preserve">, </w:t>
      </w:r>
      <w:r w:rsidR="00B5658C">
        <w:rPr>
          <w:rFonts w:ascii="Calibri" w:hAnsi="Calibri" w:cs="Calibri"/>
          <w:lang w:val="en-GB"/>
        </w:rPr>
        <w:t>L</w:t>
      </w:r>
      <w:r w:rsidR="00B5658C" w:rsidRPr="003C6A66">
        <w:rPr>
          <w:rFonts w:ascii="Calibri" w:hAnsi="Calibri" w:cs="Calibri"/>
          <w:lang w:val="en-GB"/>
        </w:rPr>
        <w:t>idia Casas</w:t>
      </w:r>
      <w:r w:rsidR="00B5658C" w:rsidRPr="003C6A66">
        <w:rPr>
          <w:rFonts w:ascii="Calibri" w:hAnsi="Calibri" w:cs="Calibri"/>
          <w:position w:val="8"/>
          <w:sz w:val="16"/>
          <w:szCs w:val="16"/>
          <w:lang w:val="en-GB"/>
        </w:rPr>
        <w:t>5</w:t>
      </w:r>
      <w:r w:rsidR="00B5658C">
        <w:rPr>
          <w:rFonts w:ascii="Calibri" w:hAnsi="Calibri" w:cs="Calibri"/>
          <w:position w:val="8"/>
          <w:sz w:val="16"/>
          <w:szCs w:val="16"/>
          <w:lang w:val="en-GB"/>
        </w:rPr>
        <w:t>,</w:t>
      </w:r>
      <w:proofErr w:type="gramStart"/>
      <w:r w:rsidR="00B5658C">
        <w:rPr>
          <w:rFonts w:ascii="Calibri" w:hAnsi="Calibri" w:cs="Calibri"/>
          <w:position w:val="8"/>
          <w:sz w:val="16"/>
          <w:szCs w:val="16"/>
          <w:lang w:val="en-GB"/>
        </w:rPr>
        <w:t>6</w:t>
      </w:r>
      <w:r w:rsidR="00B5658C" w:rsidRPr="003C6A66">
        <w:rPr>
          <w:rFonts w:ascii="Calibri" w:hAnsi="Calibri" w:cs="Calibri"/>
          <w:position w:val="8"/>
          <w:sz w:val="16"/>
          <w:szCs w:val="16"/>
          <w:lang w:val="en-GB"/>
        </w:rPr>
        <w:t>,a</w:t>
      </w:r>
      <w:proofErr w:type="gramEnd"/>
      <w:r w:rsidR="00E935AF">
        <w:rPr>
          <w:rFonts w:ascii="Calibri" w:hAnsi="Calibri" w:cs="Calibri"/>
          <w:lang w:val="en-GB"/>
        </w:rPr>
        <w:t>, S</w:t>
      </w:r>
      <w:r w:rsidR="00E935AF" w:rsidRPr="003C6A66">
        <w:rPr>
          <w:rFonts w:ascii="Calibri" w:hAnsi="Calibri" w:cs="Calibri"/>
          <w:lang w:val="en-GB"/>
        </w:rPr>
        <w:t xml:space="preserve">ylvie </w:t>
      </w:r>
      <w:proofErr w:type="spellStart"/>
      <w:r w:rsidR="00E935AF" w:rsidRPr="003C6A66">
        <w:rPr>
          <w:rFonts w:ascii="Calibri" w:hAnsi="Calibri" w:cs="Calibri"/>
          <w:lang w:val="en-GB"/>
        </w:rPr>
        <w:t>Gadeyne</w:t>
      </w:r>
      <w:proofErr w:type="spellEnd"/>
      <w:r w:rsidR="00E935AF" w:rsidRPr="003C6A66">
        <w:rPr>
          <w:rFonts w:ascii="Calibri" w:hAnsi="Calibri" w:cs="Calibri"/>
          <w:position w:val="8"/>
          <w:sz w:val="16"/>
          <w:szCs w:val="16"/>
          <w:lang w:val="en-GB"/>
        </w:rPr>
        <w:t>1,a</w:t>
      </w:r>
    </w:p>
    <w:p w14:paraId="33C3B3A1" w14:textId="1184C134" w:rsidR="007B67C3" w:rsidRDefault="0083415C" w:rsidP="0083415C">
      <w:pPr>
        <w:spacing w:line="276" w:lineRule="auto"/>
        <w:jc w:val="both"/>
        <w:rPr>
          <w:bCs/>
          <w:lang w:val="en-GB"/>
        </w:rPr>
      </w:pPr>
      <w:r w:rsidRPr="003C6A66">
        <w:rPr>
          <w:bCs/>
          <w:vertAlign w:val="superscript"/>
          <w:lang w:val="en-GB"/>
        </w:rPr>
        <w:t>1</w:t>
      </w:r>
      <w:r w:rsidRPr="003C6A66">
        <w:rPr>
          <w:bCs/>
          <w:lang w:val="en-GB"/>
        </w:rPr>
        <w:t xml:space="preserve"> Interface Demography, Department of Sociology, Vrije Universiteit Brussel, Brussels, Belgium</w:t>
      </w:r>
    </w:p>
    <w:p w14:paraId="1311FE69" w14:textId="39ED110D" w:rsidR="00FA47E8" w:rsidRPr="00FA47E8" w:rsidRDefault="00FA47E8" w:rsidP="0083415C">
      <w:pPr>
        <w:spacing w:line="276" w:lineRule="auto"/>
        <w:jc w:val="both"/>
        <w:rPr>
          <w:bCs/>
          <w:lang w:val="en-GB"/>
        </w:rPr>
      </w:pPr>
      <w:r>
        <w:rPr>
          <w:bCs/>
          <w:vertAlign w:val="superscript"/>
          <w:lang w:val="en-GB"/>
        </w:rPr>
        <w:t>2</w:t>
      </w:r>
      <w:r>
        <w:rPr>
          <w:bCs/>
          <w:lang w:val="en-GB"/>
        </w:rPr>
        <w:t xml:space="preserve"> </w:t>
      </w:r>
      <w:r w:rsidR="00212ED0">
        <w:rPr>
          <w:bCs/>
          <w:lang w:val="en-GB"/>
        </w:rPr>
        <w:t>Research Department, Belgian Cancer Registry,</w:t>
      </w:r>
      <w:r w:rsidR="00E935AF">
        <w:rPr>
          <w:bCs/>
          <w:lang w:val="en-GB"/>
        </w:rPr>
        <w:t xml:space="preserve"> Brussels, Belgium</w:t>
      </w:r>
    </w:p>
    <w:p w14:paraId="2CF49DFE" w14:textId="1A5A6421" w:rsidR="0083415C" w:rsidRPr="003C6A66" w:rsidRDefault="00FA47E8" w:rsidP="0083415C">
      <w:pPr>
        <w:spacing w:line="276" w:lineRule="auto"/>
        <w:jc w:val="both"/>
        <w:rPr>
          <w:bCs/>
          <w:lang w:val="en-GB"/>
        </w:rPr>
      </w:pPr>
      <w:r>
        <w:rPr>
          <w:bCs/>
          <w:vertAlign w:val="superscript"/>
          <w:lang w:val="en-GB"/>
        </w:rPr>
        <w:t>3</w:t>
      </w:r>
      <w:r w:rsidR="0083415C" w:rsidRPr="003C6A66">
        <w:rPr>
          <w:bCs/>
          <w:lang w:val="en-GB"/>
        </w:rPr>
        <w:t xml:space="preserve"> Flemish Institute for Technological Research (VITO), Mol, Belgium</w:t>
      </w:r>
    </w:p>
    <w:p w14:paraId="4B9E3318" w14:textId="1C052B89" w:rsidR="0083415C" w:rsidRPr="003C6A66" w:rsidRDefault="00FA47E8" w:rsidP="0083415C">
      <w:pPr>
        <w:spacing w:line="276" w:lineRule="auto"/>
        <w:jc w:val="both"/>
        <w:rPr>
          <w:bCs/>
          <w:lang w:val="en-GB"/>
        </w:rPr>
      </w:pPr>
      <w:r>
        <w:rPr>
          <w:bCs/>
          <w:vertAlign w:val="superscript"/>
          <w:lang w:val="en-GB"/>
        </w:rPr>
        <w:t>4</w:t>
      </w:r>
      <w:r w:rsidR="0083415C" w:rsidRPr="003C6A66">
        <w:rPr>
          <w:bCs/>
          <w:lang w:val="en-GB"/>
        </w:rPr>
        <w:t xml:space="preserve"> Belgian Interregional Environment Agency (IRCELINE), Brussels, Belgium</w:t>
      </w:r>
    </w:p>
    <w:p w14:paraId="06488AFC" w14:textId="4F643EC2" w:rsidR="0083415C" w:rsidRPr="003C6A66" w:rsidRDefault="00FA47E8" w:rsidP="0083415C">
      <w:pPr>
        <w:spacing w:line="276" w:lineRule="auto"/>
        <w:jc w:val="both"/>
        <w:rPr>
          <w:bCs/>
          <w:lang w:val="en-GB"/>
        </w:rPr>
      </w:pPr>
      <w:r>
        <w:rPr>
          <w:bCs/>
          <w:vertAlign w:val="superscript"/>
          <w:lang w:val="en-GB"/>
        </w:rPr>
        <w:t>5</w:t>
      </w:r>
      <w:r w:rsidR="0083415C" w:rsidRPr="003C6A66">
        <w:rPr>
          <w:bCs/>
          <w:lang w:val="en-GB"/>
        </w:rPr>
        <w:t xml:space="preserve"> Social Epidemiology and Health Policy, Department of Family Medicine and Population Health, University of Antwerp, </w:t>
      </w:r>
      <w:proofErr w:type="spellStart"/>
      <w:r w:rsidR="0083415C" w:rsidRPr="003C6A66">
        <w:rPr>
          <w:bCs/>
          <w:lang w:val="en-GB"/>
        </w:rPr>
        <w:t>Wilrijk</w:t>
      </w:r>
      <w:proofErr w:type="spellEnd"/>
      <w:r w:rsidR="0083415C" w:rsidRPr="003C6A66">
        <w:rPr>
          <w:bCs/>
          <w:lang w:val="en-GB"/>
        </w:rPr>
        <w:t>, Belgium</w:t>
      </w:r>
    </w:p>
    <w:p w14:paraId="65CCA3E6" w14:textId="4D910B2E" w:rsidR="0083415C" w:rsidRPr="003C6A66" w:rsidRDefault="00FA47E8" w:rsidP="0083415C">
      <w:pPr>
        <w:spacing w:line="276" w:lineRule="auto"/>
        <w:jc w:val="both"/>
        <w:rPr>
          <w:bCs/>
          <w:lang w:val="en-GB"/>
        </w:rPr>
      </w:pPr>
      <w:r>
        <w:rPr>
          <w:bCs/>
          <w:vertAlign w:val="superscript"/>
          <w:lang w:val="en-GB"/>
        </w:rPr>
        <w:t>6</w:t>
      </w:r>
      <w:r w:rsidR="0083415C" w:rsidRPr="003C6A66">
        <w:rPr>
          <w:bCs/>
          <w:lang w:val="en-GB"/>
        </w:rPr>
        <w:t xml:space="preserve"> Institute for Environment and Sustainable Development (IMDO), University of Antwerp, Antwerp, Belgium</w:t>
      </w:r>
    </w:p>
    <w:p w14:paraId="52475DC2" w14:textId="692D0A2E" w:rsidR="0083415C" w:rsidRPr="003C6A66" w:rsidRDefault="0083415C" w:rsidP="0083415C">
      <w:pPr>
        <w:spacing w:line="276" w:lineRule="auto"/>
        <w:jc w:val="both"/>
        <w:rPr>
          <w:bCs/>
          <w:lang w:val="en-GB"/>
        </w:rPr>
      </w:pPr>
    </w:p>
    <w:p w14:paraId="7FEC864F" w14:textId="553A96BB" w:rsidR="0083415C" w:rsidRPr="003C6A66" w:rsidRDefault="0083415C" w:rsidP="0083415C">
      <w:pPr>
        <w:spacing w:line="276" w:lineRule="auto"/>
        <w:jc w:val="both"/>
        <w:rPr>
          <w:bCs/>
          <w:lang w:val="en-GB"/>
        </w:rPr>
      </w:pPr>
    </w:p>
    <w:p w14:paraId="2E87EDA0" w14:textId="77777777" w:rsidR="0083415C" w:rsidRPr="003C6A66" w:rsidRDefault="0083415C" w:rsidP="0083415C">
      <w:pPr>
        <w:spacing w:line="276" w:lineRule="auto"/>
        <w:jc w:val="both"/>
        <w:rPr>
          <w:bCs/>
          <w:lang w:val="en-GB"/>
        </w:rPr>
      </w:pPr>
    </w:p>
    <w:p w14:paraId="5EA53AC0" w14:textId="6F194CD5" w:rsidR="0083415C" w:rsidRPr="003C6A66" w:rsidRDefault="0083415C" w:rsidP="0083415C">
      <w:pPr>
        <w:spacing w:line="276" w:lineRule="auto"/>
        <w:jc w:val="both"/>
        <w:rPr>
          <w:bCs/>
          <w:lang w:val="en-GB"/>
        </w:rPr>
      </w:pPr>
      <w:r w:rsidRPr="003C6A66">
        <w:rPr>
          <w:bCs/>
          <w:lang w:val="en-GB"/>
        </w:rPr>
        <w:t>* Corresponding author and permanent address:</w:t>
      </w:r>
    </w:p>
    <w:p w14:paraId="38A57201" w14:textId="130BC3BC" w:rsidR="0083415C" w:rsidRPr="003C6A66" w:rsidRDefault="0083415C" w:rsidP="0083415C">
      <w:pPr>
        <w:spacing w:line="276" w:lineRule="auto"/>
        <w:jc w:val="both"/>
        <w:rPr>
          <w:bCs/>
          <w:lang w:val="en-GB"/>
        </w:rPr>
      </w:pPr>
      <w:r w:rsidRPr="003C6A66">
        <w:rPr>
          <w:bCs/>
          <w:lang w:val="en-GB"/>
        </w:rPr>
        <w:t>Lucía Rodríguez Loureiro</w:t>
      </w:r>
    </w:p>
    <w:p w14:paraId="4560BFB0" w14:textId="000E61A4" w:rsidR="0083415C" w:rsidRPr="003C6A66" w:rsidRDefault="0083415C" w:rsidP="0083415C">
      <w:pPr>
        <w:spacing w:line="276" w:lineRule="auto"/>
        <w:jc w:val="both"/>
        <w:rPr>
          <w:bCs/>
          <w:lang w:val="en-GB"/>
        </w:rPr>
      </w:pPr>
      <w:r w:rsidRPr="003C6A66">
        <w:rPr>
          <w:bCs/>
          <w:lang w:val="en-GB"/>
        </w:rPr>
        <w:t>Interface Demography, Department of Sociology</w:t>
      </w:r>
    </w:p>
    <w:p w14:paraId="42C48C5F" w14:textId="643B609F" w:rsidR="0083415C" w:rsidRPr="000357D2" w:rsidRDefault="0083415C" w:rsidP="0083415C">
      <w:pPr>
        <w:spacing w:line="276" w:lineRule="auto"/>
        <w:jc w:val="both"/>
        <w:rPr>
          <w:bCs/>
        </w:rPr>
      </w:pPr>
      <w:r w:rsidRPr="000357D2">
        <w:rPr>
          <w:bCs/>
        </w:rPr>
        <w:t>Vrije Universiteit Brussel</w:t>
      </w:r>
    </w:p>
    <w:p w14:paraId="54F69BFC" w14:textId="70857A3A" w:rsidR="0083415C" w:rsidRPr="000357D2" w:rsidRDefault="0083415C" w:rsidP="0083415C">
      <w:pPr>
        <w:spacing w:line="276" w:lineRule="auto"/>
        <w:jc w:val="both"/>
        <w:rPr>
          <w:bCs/>
        </w:rPr>
      </w:pPr>
      <w:r w:rsidRPr="000357D2">
        <w:rPr>
          <w:bCs/>
        </w:rPr>
        <w:t>Pleinlaan 2, 1050, Brussels (Belgium)</w:t>
      </w:r>
    </w:p>
    <w:p w14:paraId="4BAEF842" w14:textId="346AB474" w:rsidR="0083415C" w:rsidRPr="003C6A66" w:rsidRDefault="0083415C" w:rsidP="0083415C">
      <w:pPr>
        <w:spacing w:line="276" w:lineRule="auto"/>
        <w:jc w:val="both"/>
        <w:rPr>
          <w:bCs/>
          <w:lang w:val="en-GB"/>
        </w:rPr>
      </w:pPr>
      <w:r w:rsidRPr="003C6A66">
        <w:rPr>
          <w:bCs/>
          <w:lang w:val="en-GB"/>
        </w:rPr>
        <w:t xml:space="preserve">E-mail address: </w:t>
      </w:r>
      <w:hyperlink r:id="rId8" w:history="1">
        <w:r w:rsidRPr="003C6A66">
          <w:rPr>
            <w:rStyle w:val="Hyperlink"/>
            <w:bCs/>
            <w:lang w:val="en-GB"/>
          </w:rPr>
          <w:t>lucia.rodriguez.loureiro@vub.be</w:t>
        </w:r>
      </w:hyperlink>
      <w:r w:rsidRPr="003C6A66">
        <w:rPr>
          <w:bCs/>
          <w:lang w:val="en-GB"/>
        </w:rPr>
        <w:t xml:space="preserve"> </w:t>
      </w:r>
    </w:p>
    <w:p w14:paraId="247CB291" w14:textId="77777777" w:rsidR="0083415C" w:rsidRPr="003C6A66" w:rsidRDefault="0083415C" w:rsidP="0083415C">
      <w:pPr>
        <w:spacing w:line="276" w:lineRule="auto"/>
        <w:jc w:val="both"/>
        <w:rPr>
          <w:bCs/>
          <w:lang w:val="en-GB"/>
        </w:rPr>
      </w:pPr>
    </w:p>
    <w:p w14:paraId="1BB8029A" w14:textId="77777777" w:rsidR="0083415C" w:rsidRPr="003C6A66" w:rsidRDefault="0083415C" w:rsidP="0083415C">
      <w:pPr>
        <w:spacing w:line="276" w:lineRule="auto"/>
        <w:jc w:val="both"/>
        <w:rPr>
          <w:bCs/>
          <w:lang w:val="en-GB"/>
        </w:rPr>
      </w:pPr>
    </w:p>
    <w:p w14:paraId="643D5F83" w14:textId="77777777" w:rsidR="0083415C" w:rsidRPr="003C6A66" w:rsidRDefault="0083415C" w:rsidP="0083415C">
      <w:pPr>
        <w:spacing w:line="276" w:lineRule="auto"/>
        <w:jc w:val="both"/>
        <w:rPr>
          <w:bCs/>
          <w:lang w:val="en-GB"/>
        </w:rPr>
      </w:pPr>
    </w:p>
    <w:p w14:paraId="0E61F9AF" w14:textId="329D1F2D" w:rsidR="0083415C" w:rsidRPr="003C6A66" w:rsidRDefault="0083415C" w:rsidP="0083415C">
      <w:pPr>
        <w:spacing w:line="276" w:lineRule="auto"/>
        <w:jc w:val="both"/>
        <w:rPr>
          <w:bCs/>
          <w:lang w:val="en-GB"/>
        </w:rPr>
      </w:pPr>
      <w:r w:rsidRPr="003C6A66">
        <w:rPr>
          <w:bCs/>
          <w:vertAlign w:val="superscript"/>
          <w:lang w:val="en-GB"/>
        </w:rPr>
        <w:t>a</w:t>
      </w:r>
      <w:r w:rsidRPr="003C6A66">
        <w:rPr>
          <w:bCs/>
          <w:lang w:val="en-GB"/>
        </w:rPr>
        <w:t xml:space="preserve"> Shared last authorship.</w:t>
      </w:r>
    </w:p>
    <w:p w14:paraId="50C1DBDC" w14:textId="381C70F2" w:rsidR="001920D8" w:rsidRPr="003C6A66" w:rsidRDefault="001920D8" w:rsidP="0083415C">
      <w:pPr>
        <w:spacing w:line="276" w:lineRule="auto"/>
        <w:jc w:val="both"/>
        <w:rPr>
          <w:bCs/>
          <w:lang w:val="en-GB"/>
        </w:rPr>
      </w:pPr>
    </w:p>
    <w:p w14:paraId="3625CE94" w14:textId="6372D55C" w:rsidR="001920D8" w:rsidRPr="003C6A66" w:rsidRDefault="001920D8" w:rsidP="0083415C">
      <w:pPr>
        <w:spacing w:line="276" w:lineRule="auto"/>
        <w:jc w:val="both"/>
        <w:rPr>
          <w:bCs/>
          <w:lang w:val="en-GB"/>
        </w:rPr>
      </w:pPr>
    </w:p>
    <w:p w14:paraId="04833154" w14:textId="77777777" w:rsidR="001920D8" w:rsidRPr="003C6A66" w:rsidRDefault="001920D8" w:rsidP="0083415C">
      <w:pPr>
        <w:spacing w:line="276" w:lineRule="auto"/>
        <w:jc w:val="both"/>
        <w:rPr>
          <w:bCs/>
          <w:lang w:val="en-GB"/>
        </w:rPr>
        <w:sectPr w:rsidR="001920D8" w:rsidRPr="003C6A66" w:rsidSect="00FB4A74">
          <w:headerReference w:type="default" r:id="rId9"/>
          <w:footerReference w:type="even" r:id="rId10"/>
          <w:footerReference w:type="default" r:id="rId11"/>
          <w:pgSz w:w="11906" w:h="16838"/>
          <w:pgMar w:top="1440" w:right="1440" w:bottom="1440" w:left="1440" w:header="709" w:footer="709" w:gutter="0"/>
          <w:lnNumType w:countBy="1" w:restart="continuous"/>
          <w:cols w:space="708"/>
          <w:docGrid w:linePitch="360"/>
        </w:sectPr>
      </w:pPr>
    </w:p>
    <w:p w14:paraId="5D9C5F99" w14:textId="78094D3E" w:rsidR="00DF0C99" w:rsidRPr="003C6A66" w:rsidRDefault="00DF0C99" w:rsidP="00801558">
      <w:pPr>
        <w:spacing w:line="276" w:lineRule="auto"/>
        <w:jc w:val="both"/>
        <w:rPr>
          <w:b/>
          <w:lang w:val="en-GB"/>
        </w:rPr>
      </w:pPr>
      <w:r w:rsidRPr="003C6A66">
        <w:rPr>
          <w:b/>
          <w:lang w:val="en-GB"/>
        </w:rPr>
        <w:lastRenderedPageBreak/>
        <w:t>Abstract</w:t>
      </w:r>
    </w:p>
    <w:p w14:paraId="3F79DA6D" w14:textId="77777777" w:rsidR="00DF0C99" w:rsidRPr="003C6A66" w:rsidRDefault="00DF0C99" w:rsidP="00801558">
      <w:pPr>
        <w:spacing w:line="276" w:lineRule="auto"/>
        <w:jc w:val="both"/>
        <w:rPr>
          <w:b/>
          <w:lang w:val="en-GB"/>
        </w:rPr>
      </w:pPr>
    </w:p>
    <w:p w14:paraId="0FE5690C" w14:textId="77777777" w:rsidR="005E2980" w:rsidRPr="008F07F6" w:rsidRDefault="005E2980" w:rsidP="005E2980">
      <w:pPr>
        <w:spacing w:line="276" w:lineRule="auto"/>
        <w:jc w:val="both"/>
        <w:rPr>
          <w:bCs/>
          <w:lang w:val="en-GB"/>
        </w:rPr>
      </w:pPr>
      <w:r w:rsidRPr="008F07F6">
        <w:rPr>
          <w:b/>
          <w:lang w:val="en-GB"/>
        </w:rPr>
        <w:t xml:space="preserve">Background: </w:t>
      </w:r>
      <w:r w:rsidRPr="008F07F6">
        <w:rPr>
          <w:bCs/>
          <w:lang w:val="en-GB"/>
        </w:rPr>
        <w:t>Residing in greener areas may decrease the burden of chronic diseases, but the association with cancer is unclear. We studied the associations between residential green spaces and site-specific cancer mortality in urban Belgium.</w:t>
      </w:r>
    </w:p>
    <w:p w14:paraId="6EFBA25C" w14:textId="77777777" w:rsidR="005E2980" w:rsidRPr="008F07F6" w:rsidRDefault="005E2980" w:rsidP="005E2980">
      <w:pPr>
        <w:spacing w:line="276" w:lineRule="auto"/>
        <w:jc w:val="both"/>
        <w:rPr>
          <w:bCs/>
          <w:lang w:val="en-GB"/>
        </w:rPr>
      </w:pPr>
      <w:r w:rsidRPr="008F07F6">
        <w:rPr>
          <w:b/>
          <w:lang w:val="en-GB"/>
        </w:rPr>
        <w:t xml:space="preserve">Methodology: </w:t>
      </w:r>
      <w:r w:rsidRPr="008F07F6">
        <w:rPr>
          <w:bCs/>
          <w:lang w:val="en-GB"/>
        </w:rPr>
        <w:t xml:space="preserve">We linked the 2001 Belgian census, register mortality data for 2001-2014, and environmental information (green spaces and air pollution) at baseline residence (2001). We included residents from the largest Belgian urban areas aged ≥30 years at baseline. Exposure to residential green spaces was assessed using the Normalized Difference Vegetation Index (NDVI), Urban Atlas, and perceived neighbourhood greenness (from the census). </w:t>
      </w:r>
      <w:r w:rsidRPr="008F07F6">
        <w:rPr>
          <w:lang w:val="en-US"/>
        </w:rPr>
        <w:t xml:space="preserve">We used Cox proportional hazards models to obtain hazard ratios (HR) and their 95% confidence intervals (95%CI) of the mortality risk from </w:t>
      </w:r>
      <w:r w:rsidRPr="008F07F6">
        <w:rPr>
          <w:bCs/>
          <w:lang w:val="en-GB"/>
        </w:rPr>
        <w:t xml:space="preserve">lung, colorectal, breast (in women) and prostate cancer (in men) </w:t>
      </w:r>
      <w:r w:rsidRPr="008F07F6">
        <w:rPr>
          <w:lang w:val="en-US"/>
        </w:rPr>
        <w:t xml:space="preserve">per interquartile range increment in residential green spaces. We further analyzed the role of </w:t>
      </w:r>
      <w:r w:rsidRPr="008F07F6">
        <w:rPr>
          <w:bCs/>
          <w:lang w:val="en-GB"/>
        </w:rPr>
        <w:t xml:space="preserve">outdoor </w:t>
      </w:r>
      <w:r w:rsidRPr="008F07F6">
        <w:rPr>
          <w:lang w:val="en-US"/>
        </w:rPr>
        <w:t xml:space="preserve">air pollution and effect modification by age and socioeconomic position (SEP) in main </w:t>
      </w:r>
      <w:r w:rsidRPr="008B3017">
        <w:rPr>
          <w:lang w:val="en-US"/>
        </w:rPr>
        <w:t>associations</w:t>
      </w:r>
      <w:r w:rsidRPr="008F07F6">
        <w:rPr>
          <w:lang w:val="en-US"/>
        </w:rPr>
        <w:t>.</w:t>
      </w:r>
    </w:p>
    <w:p w14:paraId="46909BAF" w14:textId="77777777" w:rsidR="005E2980" w:rsidRPr="00051027" w:rsidRDefault="005E2980" w:rsidP="005E2980">
      <w:pPr>
        <w:spacing w:line="276" w:lineRule="auto"/>
        <w:jc w:val="both"/>
        <w:rPr>
          <w:bCs/>
          <w:lang w:val="en-GB"/>
        </w:rPr>
      </w:pPr>
      <w:r w:rsidRPr="008F07F6">
        <w:rPr>
          <w:b/>
          <w:lang w:val="en-GB"/>
        </w:rPr>
        <w:t xml:space="preserve">Results: </w:t>
      </w:r>
      <w:r w:rsidRPr="008F07F6">
        <w:rPr>
          <w:bCs/>
          <w:lang w:val="en-GB"/>
        </w:rPr>
        <w:t>2,441,566 individuals were included at baseline. During follow-up, 1.2% died from lung cancer, 0.6% from colorectal cancer, 0.8% from breast cancer, and 0.6% from prostate cancer. After adjustment, higher exposure to green spaces was associated with a reduced mortality risk from lung cancer and breast cancer [e.g., for NDVI</w:t>
      </w:r>
      <w:r>
        <w:rPr>
          <w:bCs/>
          <w:lang w:val="en-GB"/>
        </w:rPr>
        <w:t xml:space="preserve"> </w:t>
      </w:r>
      <w:r w:rsidRPr="00051027">
        <w:rPr>
          <w:bCs/>
          <w:lang w:val="en-GB"/>
        </w:rPr>
        <w:t>within 300 m, HR:</w:t>
      </w:r>
      <w:r w:rsidRPr="00051027">
        <w:rPr>
          <w:color w:val="000000"/>
          <w:lang w:val="en-GB"/>
        </w:rPr>
        <w:t>0.946 (95%CI:0.924,0.970)</w:t>
      </w:r>
      <w:r w:rsidRPr="00051027">
        <w:rPr>
          <w:bCs/>
          <w:lang w:val="en-GB"/>
        </w:rPr>
        <w:t>, and HR:0.927 (95%CI:0.892,0.963), respectively], but not with colorectal or prostate cancer mortality. For the latter, a suggestive hazardous effect of green spaces was found. Air pollution seemed to have only a marginal role. Beneficial effects of greenspace were generally stronger in &lt;65-year-old, but no clear trend by SEP was found.</w:t>
      </w:r>
    </w:p>
    <w:p w14:paraId="34B15095" w14:textId="77777777" w:rsidR="005E2980" w:rsidRPr="00051027" w:rsidRDefault="005E2980" w:rsidP="005E2980">
      <w:pPr>
        <w:spacing w:line="276" w:lineRule="auto"/>
        <w:jc w:val="both"/>
        <w:rPr>
          <w:bCs/>
          <w:lang w:val="en-GB"/>
        </w:rPr>
      </w:pPr>
      <w:r w:rsidRPr="008F07F6">
        <w:rPr>
          <w:b/>
          <w:lang w:val="en-GB"/>
        </w:rPr>
        <w:t xml:space="preserve">Conclusions: </w:t>
      </w:r>
      <w:r w:rsidRPr="008F07F6">
        <w:rPr>
          <w:bCs/>
          <w:lang w:val="en-GB"/>
        </w:rPr>
        <w:t xml:space="preserve">Our findings suggest that residing in green areas </w:t>
      </w:r>
      <w:r>
        <w:rPr>
          <w:bCs/>
          <w:lang w:val="en-GB"/>
        </w:rPr>
        <w:t>could decrease</w:t>
      </w:r>
      <w:r w:rsidRPr="008F07F6">
        <w:rPr>
          <w:bCs/>
          <w:lang w:val="en-GB"/>
        </w:rPr>
        <w:t xml:space="preserve"> mortality risk from lung and breast cancer, potentially independent from air pollution. </w:t>
      </w:r>
      <w:r w:rsidRPr="00051027">
        <w:rPr>
          <w:bCs/>
          <w:lang w:val="en-GB"/>
        </w:rPr>
        <w:t>Future studies should consider different indicators of greenspace exposure and investigate potential pathways underlying the associations.</w:t>
      </w:r>
    </w:p>
    <w:p w14:paraId="6AC4F702" w14:textId="77777777" w:rsidR="00B2078D" w:rsidRDefault="00B2078D" w:rsidP="00801558">
      <w:pPr>
        <w:spacing w:line="276" w:lineRule="auto"/>
        <w:jc w:val="both"/>
        <w:rPr>
          <w:bCs/>
          <w:lang w:val="en-GB"/>
        </w:rPr>
      </w:pPr>
    </w:p>
    <w:p w14:paraId="6F511296" w14:textId="6E05EA73" w:rsidR="00B2078D" w:rsidRPr="00B2078D" w:rsidRDefault="00B2078D" w:rsidP="00801558">
      <w:pPr>
        <w:spacing w:line="276" w:lineRule="auto"/>
        <w:jc w:val="both"/>
        <w:rPr>
          <w:bCs/>
          <w:lang w:val="en-GB"/>
        </w:rPr>
      </w:pPr>
      <w:r>
        <w:rPr>
          <w:b/>
          <w:lang w:val="en-GB"/>
        </w:rPr>
        <w:t>Keywords:</w:t>
      </w:r>
      <w:r>
        <w:rPr>
          <w:bCs/>
          <w:lang w:val="en-GB"/>
        </w:rPr>
        <w:t xml:space="preserve"> </w:t>
      </w:r>
      <w:r w:rsidR="003A5812">
        <w:rPr>
          <w:bCs/>
          <w:lang w:val="en-GB"/>
        </w:rPr>
        <w:t xml:space="preserve">Cancer </w:t>
      </w:r>
      <w:r w:rsidR="00A71CFE">
        <w:rPr>
          <w:bCs/>
          <w:lang w:val="en-GB"/>
        </w:rPr>
        <w:t>m</w:t>
      </w:r>
      <w:r w:rsidR="003A5812">
        <w:rPr>
          <w:bCs/>
          <w:lang w:val="en-GB"/>
        </w:rPr>
        <w:t>ortality;</w:t>
      </w:r>
      <w:r w:rsidR="00A71CFE">
        <w:rPr>
          <w:bCs/>
          <w:lang w:val="en-GB"/>
        </w:rPr>
        <w:t xml:space="preserve"> Green spaces; Built environment; Perception; Air pollution; Social factors.</w:t>
      </w:r>
    </w:p>
    <w:p w14:paraId="0CC147FB" w14:textId="77777777" w:rsidR="00602526" w:rsidRPr="003C6A66" w:rsidRDefault="00602526" w:rsidP="00801558">
      <w:pPr>
        <w:spacing w:line="276" w:lineRule="auto"/>
        <w:jc w:val="both"/>
        <w:rPr>
          <w:bCs/>
          <w:lang w:val="en-GB"/>
        </w:rPr>
      </w:pPr>
    </w:p>
    <w:p w14:paraId="197BC3D0" w14:textId="172BF777" w:rsidR="00602526" w:rsidRPr="003C6A66" w:rsidRDefault="00602526" w:rsidP="00801558">
      <w:pPr>
        <w:spacing w:line="276" w:lineRule="auto"/>
        <w:jc w:val="both"/>
        <w:rPr>
          <w:bCs/>
          <w:lang w:val="en-GB"/>
        </w:rPr>
        <w:sectPr w:rsidR="00602526" w:rsidRPr="003C6A66" w:rsidSect="00FB4A74">
          <w:pgSz w:w="11906" w:h="16838"/>
          <w:pgMar w:top="1440" w:right="1440" w:bottom="1440" w:left="1440" w:header="709" w:footer="709" w:gutter="0"/>
          <w:lnNumType w:countBy="1" w:restart="continuous"/>
          <w:cols w:space="708"/>
          <w:docGrid w:linePitch="360"/>
        </w:sectPr>
      </w:pPr>
    </w:p>
    <w:p w14:paraId="371A408A" w14:textId="7D294768" w:rsidR="00964881" w:rsidRPr="00EE58BB" w:rsidRDefault="00964881" w:rsidP="00EE58BB">
      <w:pPr>
        <w:pStyle w:val="ListParagraph"/>
        <w:numPr>
          <w:ilvl w:val="0"/>
          <w:numId w:val="3"/>
        </w:numPr>
        <w:spacing w:line="276" w:lineRule="auto"/>
        <w:jc w:val="both"/>
        <w:rPr>
          <w:b/>
          <w:lang w:val="en-GB"/>
        </w:rPr>
      </w:pPr>
      <w:r w:rsidRPr="00EE58BB">
        <w:rPr>
          <w:b/>
          <w:lang w:val="en-GB"/>
        </w:rPr>
        <w:lastRenderedPageBreak/>
        <w:t>Introduction</w:t>
      </w:r>
    </w:p>
    <w:p w14:paraId="67A98D9A" w14:textId="4990B8DE" w:rsidR="004567DD" w:rsidRDefault="00D35D08" w:rsidP="004567DD">
      <w:pPr>
        <w:spacing w:line="276" w:lineRule="auto"/>
        <w:jc w:val="both"/>
        <w:rPr>
          <w:bCs/>
          <w:lang w:val="en-GB"/>
        </w:rPr>
      </w:pPr>
      <w:r w:rsidRPr="003C6A66">
        <w:rPr>
          <w:bCs/>
          <w:lang w:val="en-GB"/>
        </w:rPr>
        <w:t xml:space="preserve">Cancer </w:t>
      </w:r>
      <w:r w:rsidR="008753F2" w:rsidRPr="003C6A66">
        <w:rPr>
          <w:bCs/>
          <w:lang w:val="en-GB"/>
        </w:rPr>
        <w:t xml:space="preserve">is </w:t>
      </w:r>
      <w:r w:rsidR="00E444F0" w:rsidRPr="003C6A66">
        <w:rPr>
          <w:bCs/>
          <w:lang w:val="en-GB"/>
        </w:rPr>
        <w:t>the second</w:t>
      </w:r>
      <w:r w:rsidR="008753F2" w:rsidRPr="003C6A66">
        <w:rPr>
          <w:bCs/>
          <w:lang w:val="en-GB"/>
        </w:rPr>
        <w:t xml:space="preserve"> </w:t>
      </w:r>
      <w:r w:rsidR="003A18F0" w:rsidRPr="003C6A66">
        <w:rPr>
          <w:bCs/>
          <w:lang w:val="en-GB"/>
        </w:rPr>
        <w:t>leading</w:t>
      </w:r>
      <w:r w:rsidR="008753F2" w:rsidRPr="003C6A66">
        <w:rPr>
          <w:bCs/>
          <w:lang w:val="en-GB"/>
        </w:rPr>
        <w:t xml:space="preserve"> cause of death </w:t>
      </w:r>
      <w:r w:rsidR="00E444F0" w:rsidRPr="003C6A66">
        <w:rPr>
          <w:bCs/>
          <w:lang w:val="en-GB"/>
        </w:rPr>
        <w:t>worldwide</w:t>
      </w:r>
      <w:r w:rsidR="008753F2" w:rsidRPr="003C6A66">
        <w:rPr>
          <w:bCs/>
          <w:lang w:val="en-GB"/>
        </w:rPr>
        <w:t xml:space="preserve">, </w:t>
      </w:r>
      <w:r w:rsidR="00533FB5" w:rsidRPr="003C6A66">
        <w:rPr>
          <w:bCs/>
          <w:lang w:val="en-GB"/>
        </w:rPr>
        <w:t>only</w:t>
      </w:r>
      <w:r w:rsidR="008753F2" w:rsidRPr="003C6A66">
        <w:rPr>
          <w:bCs/>
          <w:lang w:val="en-GB"/>
        </w:rPr>
        <w:t xml:space="preserve"> </w:t>
      </w:r>
      <w:r w:rsidR="006242C6" w:rsidRPr="003C6A66">
        <w:rPr>
          <w:bCs/>
          <w:lang w:val="en-GB"/>
        </w:rPr>
        <w:t>preceded by cardiovascular diseases</w:t>
      </w:r>
      <w:r w:rsidR="00917F1A" w:rsidRPr="003C6A66">
        <w:rPr>
          <w:bCs/>
          <w:lang w:val="en-GB"/>
        </w:rPr>
        <w:t xml:space="preserve"> </w:t>
      </w:r>
      <w:r w:rsidR="00917F1A" w:rsidRPr="003C6A66">
        <w:rPr>
          <w:bCs/>
          <w:lang w:val="en-GB"/>
        </w:rPr>
        <w:fldChar w:fldCharType="begin" w:fldLock="1"/>
      </w:r>
      <w:r w:rsidR="00525CEF">
        <w:rPr>
          <w:bCs/>
          <w:lang w:val="en-GB"/>
        </w:rPr>
        <w:instrText>ADDIN CSL_CITATION {"citationItems":[{"id":"ITEM-1","itemData":{"DOI":"https://doi.org/10.1002/ijc.33588","ISSN":"0020-7136","abstract":"Abstract Our study briefly reviews the data sources and methods used in compiling the International Agency for Research on Cancer (IARC) GLOBOCAN cancer statistics for the year 2020 and summarises the main results. National estimates were calculated based on the best available data on cancer incidence from population-based cancer registries (PBCR) and mortality from the World Health Organization mortality database. Cancer incidence and mortality rates for 2020 by sex and age groups were estimated for 38 cancer sites and 185 countries or territories worldwide. There were an estimated 19.3 million (95% uncertainty interval [UI]: 19.0-19.6 million) new cases of cancer (18.1 million excluding non-melanoma skin cancer) and almost 10.0 million (95% UI: 9.7-10.2 million) deaths from cancer (9.9 million excluding non-melanoma skin cancer) worldwide in 2020. The most commonly diagnosed cancers worldwide were female breast cancer (2.26 million cases), lung (2.21) and prostate cancers (1.41); the most common causes of cancer death were lung (1.79 million deaths), liver (830000) and stomach cancers (769000).","author":[{"dropping-particle":"","family":"Ferlay","given":"Jacques","non-dropping-particle":"","parse-names":false,"suffix":""},{"dropping-particle":"","family":"Colombet","given":"Murielle","non-dropping-particle":"","parse-names":false,"suffix":""},{"dropping-particle":"","family":"Soerjomataram","given":"Isabelle","non-dropping-particle":"","parse-names":false,"suffix":""},{"dropping-particle":"","family":"Parkin","given":"Donald M","non-dropping-particle":"","parse-names":false,"suffix":""},{"dropping-particle":"","family":"Piñeros","given":"Marion","non-dropping-particle":"","parse-names":false,"suffix":""},{"dropping-particle":"","family":"Znaor","given":"Ariana","non-dropping-particle":"","parse-names":false,"suffix":""},{"dropping-particle":"","family":"Bray","given":"Freddie","non-dropping-particle":"","parse-names":false,"suffix":""}],"container-title":"International Journal of Cancer","id":"ITEM-1","issue":"4","issued":{"date-parts":[["2021","8","15"]]},"note":"https://doi.org/10.1002/ijc.33588","page":"778-789","publisher":"John Wiley &amp; Sons, Ltd","title":"Cancer statistics for the year 2020: An overview","type":"article-journal","volume":"149"},"uris":["http://www.mendeley.com/documents/?uuid=96c53ee1-5470-4258-bd8b-7bf3f541b7da"]}],"mendeley":{"formattedCitation":"(Ferlay et al., 2021)","plainTextFormattedCitation":"(Ferlay et al., 2021)","previouslyFormattedCitation":"(Ferlay et al., 2021)"},"properties":{"noteIndex":0},"schema":"https://github.com/citation-style-language/schema/raw/master/csl-citation.json"}</w:instrText>
      </w:r>
      <w:r w:rsidR="00917F1A" w:rsidRPr="003C6A66">
        <w:rPr>
          <w:bCs/>
          <w:lang w:val="en-GB"/>
        </w:rPr>
        <w:fldChar w:fldCharType="separate"/>
      </w:r>
      <w:r w:rsidR="00D10DDE" w:rsidRPr="00D10DDE">
        <w:rPr>
          <w:bCs/>
          <w:noProof/>
          <w:lang w:val="en-GB"/>
        </w:rPr>
        <w:t>(Ferlay et al., 2021)</w:t>
      </w:r>
      <w:r w:rsidR="00917F1A" w:rsidRPr="003C6A66">
        <w:rPr>
          <w:bCs/>
          <w:lang w:val="en-GB"/>
        </w:rPr>
        <w:fldChar w:fldCharType="end"/>
      </w:r>
      <w:r w:rsidR="00917F1A" w:rsidRPr="003C6A66">
        <w:rPr>
          <w:bCs/>
          <w:lang w:val="en-GB"/>
        </w:rPr>
        <w:t>.</w:t>
      </w:r>
      <w:r w:rsidR="00275EBF" w:rsidRPr="003C6A66">
        <w:rPr>
          <w:bCs/>
          <w:lang w:val="en-GB"/>
        </w:rPr>
        <w:t xml:space="preserve"> </w:t>
      </w:r>
      <w:r w:rsidR="00870E70" w:rsidRPr="003C6A66">
        <w:rPr>
          <w:bCs/>
          <w:lang w:val="en-GB"/>
        </w:rPr>
        <w:t xml:space="preserve">In </w:t>
      </w:r>
      <w:r w:rsidR="00767575" w:rsidRPr="003C6A66">
        <w:rPr>
          <w:bCs/>
          <w:lang w:val="en-GB"/>
        </w:rPr>
        <w:t>Belgium</w:t>
      </w:r>
      <w:r w:rsidR="00870E70" w:rsidRPr="003C6A66">
        <w:rPr>
          <w:bCs/>
          <w:lang w:val="en-GB"/>
        </w:rPr>
        <w:t xml:space="preserve">, cancer burden accounted for almost one third (26.4%) of total mortality in </w:t>
      </w:r>
      <w:r w:rsidR="00767575" w:rsidRPr="003C6A66">
        <w:rPr>
          <w:bCs/>
          <w:lang w:val="en-GB"/>
        </w:rPr>
        <w:t>2016</w:t>
      </w:r>
      <w:r w:rsidR="00870E70" w:rsidRPr="003C6A66">
        <w:rPr>
          <w:bCs/>
          <w:lang w:val="en-GB"/>
        </w:rPr>
        <w:t xml:space="preserve"> </w:t>
      </w:r>
      <w:r w:rsidR="00870E70" w:rsidRPr="003C6A66">
        <w:rPr>
          <w:bCs/>
          <w:lang w:val="en-GB"/>
        </w:rPr>
        <w:fldChar w:fldCharType="begin" w:fldLock="1"/>
      </w:r>
      <w:r w:rsidR="00525CEF">
        <w:rPr>
          <w:bCs/>
          <w:lang w:val="en-GB"/>
        </w:rPr>
        <w:instrText>ADDIN CSL_CITATION {"citationItems":[{"id":"ITEM-1","itemData":{"URL":"https://statbel.fgov.be/en/news/2016-tumours-continue-increase-initial-causes-death","accessed":{"date-parts":[["2021","11","30"]]},"author":[{"dropping-particle":"","family":"Statistics Belgium (Statbel)","given":"","non-dropping-particle":"","parse-names":false,"suffix":""}],"id":"ITEM-1","issued":{"date-parts":[["2019"]]},"title":"In 2016, tumours continue to increase as initial causes of death","type":"webpage"},"uris":["http://www.mendeley.com/documents/?uuid=c2f4e1e7-ccf7-49fb-88ff-e453f5c36be4"]}],"mendeley":{"formattedCitation":"(Statistics Belgium (Statbel), 2019)","manualFormatting":"(Statistics Belgium (Statbel), 2019)","plainTextFormattedCitation":"(Statistics Belgium (Statbel), 2019)","previouslyFormattedCitation":"(Statistics Belgium (Statbel), 2019)"},"properties":{"noteIndex":0},"schema":"https://github.com/citation-style-language/schema/raw/master/csl-citation.json"}</w:instrText>
      </w:r>
      <w:r w:rsidR="00870E70" w:rsidRPr="003C6A66">
        <w:rPr>
          <w:bCs/>
          <w:lang w:val="en-GB"/>
        </w:rPr>
        <w:fldChar w:fldCharType="separate"/>
      </w:r>
      <w:r w:rsidR="00870E70" w:rsidRPr="003C6A66">
        <w:rPr>
          <w:bCs/>
          <w:noProof/>
          <w:lang w:val="en-GB"/>
        </w:rPr>
        <w:t>(Statistics Belgium (Statbel), 2019)</w:t>
      </w:r>
      <w:r w:rsidR="00870E70" w:rsidRPr="003C6A66">
        <w:rPr>
          <w:bCs/>
          <w:lang w:val="en-GB"/>
        </w:rPr>
        <w:fldChar w:fldCharType="end"/>
      </w:r>
      <w:r w:rsidR="00870E70" w:rsidRPr="003C6A66">
        <w:rPr>
          <w:bCs/>
          <w:lang w:val="en-GB"/>
        </w:rPr>
        <w:t>.</w:t>
      </w:r>
      <w:r w:rsidR="00767575" w:rsidRPr="003C6A66">
        <w:rPr>
          <w:bCs/>
          <w:lang w:val="en-GB"/>
        </w:rPr>
        <w:t xml:space="preserve"> Within Europe, Belgium stands among the countries with the highest cancer risks, presenting the fourth highest all-cancer incidence in 2020 </w:t>
      </w:r>
      <w:r w:rsidR="00767575" w:rsidRPr="003C6A66">
        <w:rPr>
          <w:bCs/>
          <w:lang w:val="en-GB"/>
        </w:rPr>
        <w:fldChar w:fldCharType="begin" w:fldLock="1"/>
      </w:r>
      <w:r w:rsidR="00525CEF">
        <w:rPr>
          <w:bCs/>
          <w:lang w:val="en-GB"/>
        </w:rPr>
        <w:instrText>ADDIN CSL_CITATION {"citationItems":[{"id":"ITEM-1","itemData":{"URL":"https://ecis.jrc.ec.europa.eu/explorer.php?$0-0$1-All$2-All$4-1,2$3-0$6-0,85$5-2008,2008$7-7$CEstByCountry$X0_8-3$X0_19-AE27$X0_20-No$CEstBySexByCountry$X1_8-3$X1_19-AE27$X1_-1-1$CEstByIndiByCountry$X2_8-3$X2_19-AE27$X2_20-No$CEstRelative$X3_8-3$X3_9-AE27$X3_19-AE27$CEstByCountryTable$X4_19-AE27","accessed":{"date-parts":[["2021","11","30"]]},"author":[{"dropping-particle":"","family":"European Cancer Information System (ECIS)","given":"","non-dropping-particle":"","parse-names":false,"suffix":""}],"id":"ITEM-1","issued":{"date-parts":[["2020"]]},"title":"Estimates of cancer incidence and mortality in 2020, for all countries","type":"webpage"},"uris":["http://www.mendeley.com/documents/?uuid=6a21046d-aada-4a5d-bc3d-dc4c545aee9f"]}],"mendeley":{"formattedCitation":"(European Cancer Information System (ECIS), 2020)","plainTextFormattedCitation":"(European Cancer Information System (ECIS), 2020)","previouslyFormattedCitation":"(European Cancer Information System (ECIS), 2020)"},"properties":{"noteIndex":0},"schema":"https://github.com/citation-style-language/schema/raw/master/csl-citation.json"}</w:instrText>
      </w:r>
      <w:r w:rsidR="00767575" w:rsidRPr="003C6A66">
        <w:rPr>
          <w:bCs/>
          <w:lang w:val="en-GB"/>
        </w:rPr>
        <w:fldChar w:fldCharType="separate"/>
      </w:r>
      <w:r w:rsidR="00D10DDE" w:rsidRPr="00D10DDE">
        <w:rPr>
          <w:bCs/>
          <w:noProof/>
          <w:lang w:val="en-GB"/>
        </w:rPr>
        <w:t>(European Cancer Information System (ECIS), 2020)</w:t>
      </w:r>
      <w:r w:rsidR="00767575" w:rsidRPr="003C6A66">
        <w:rPr>
          <w:bCs/>
          <w:lang w:val="en-GB"/>
        </w:rPr>
        <w:fldChar w:fldCharType="end"/>
      </w:r>
      <w:r w:rsidR="00767575" w:rsidRPr="003C6A66">
        <w:rPr>
          <w:bCs/>
          <w:lang w:val="en-GB"/>
        </w:rPr>
        <w:t>.</w:t>
      </w:r>
    </w:p>
    <w:p w14:paraId="75353EF4" w14:textId="109908DE" w:rsidR="006C5766" w:rsidRPr="001B4F04" w:rsidRDefault="004C0E61" w:rsidP="004567DD">
      <w:pPr>
        <w:spacing w:line="276" w:lineRule="auto"/>
        <w:jc w:val="both"/>
        <w:rPr>
          <w:bCs/>
          <w:color w:val="FF0000"/>
          <w:lang w:val="en-GB"/>
        </w:rPr>
      </w:pPr>
      <w:r>
        <w:rPr>
          <w:bCs/>
          <w:lang w:val="en-GB"/>
        </w:rPr>
        <w:t>More than 9</w:t>
      </w:r>
      <w:r w:rsidR="004A6107">
        <w:rPr>
          <w:bCs/>
          <w:lang w:val="en-GB"/>
        </w:rPr>
        <w:t>8</w:t>
      </w:r>
      <w:r>
        <w:rPr>
          <w:bCs/>
          <w:lang w:val="en-GB"/>
        </w:rPr>
        <w:t>%</w:t>
      </w:r>
      <w:r w:rsidR="004A6107">
        <w:rPr>
          <w:bCs/>
          <w:lang w:val="en-GB"/>
        </w:rPr>
        <w:t xml:space="preserve"> </w:t>
      </w:r>
      <w:r w:rsidR="00E60EA6">
        <w:rPr>
          <w:bCs/>
          <w:lang w:val="en-GB"/>
        </w:rPr>
        <w:t>Belgi</w:t>
      </w:r>
      <w:r w:rsidR="00613E26">
        <w:rPr>
          <w:bCs/>
          <w:lang w:val="en-GB"/>
        </w:rPr>
        <w:t>ans</w:t>
      </w:r>
      <w:r w:rsidR="00E60EA6">
        <w:rPr>
          <w:bCs/>
          <w:lang w:val="en-GB"/>
        </w:rPr>
        <w:t xml:space="preserve"> </w:t>
      </w:r>
      <w:r w:rsidR="004A6107">
        <w:rPr>
          <w:bCs/>
          <w:lang w:val="en-GB"/>
        </w:rPr>
        <w:t>reside</w:t>
      </w:r>
      <w:r w:rsidR="001347C2">
        <w:rPr>
          <w:bCs/>
          <w:lang w:val="en-GB"/>
        </w:rPr>
        <w:t>d</w:t>
      </w:r>
      <w:r w:rsidR="004A6107">
        <w:rPr>
          <w:bCs/>
          <w:lang w:val="en-GB"/>
        </w:rPr>
        <w:t xml:space="preserve"> </w:t>
      </w:r>
      <w:r w:rsidR="00E60EA6">
        <w:rPr>
          <w:bCs/>
          <w:lang w:val="en-GB"/>
        </w:rPr>
        <w:t>in urban areas</w:t>
      </w:r>
      <w:r w:rsidR="001347C2">
        <w:rPr>
          <w:bCs/>
          <w:lang w:val="en-GB"/>
        </w:rPr>
        <w:t xml:space="preserve"> in 2020</w:t>
      </w:r>
      <w:r w:rsidR="00C52987">
        <w:rPr>
          <w:bCs/>
          <w:lang w:val="en-GB"/>
        </w:rPr>
        <w:t xml:space="preserve"> </w:t>
      </w:r>
      <w:r w:rsidR="00C52987">
        <w:rPr>
          <w:bCs/>
          <w:lang w:val="en-GB"/>
        </w:rPr>
        <w:fldChar w:fldCharType="begin" w:fldLock="1"/>
      </w:r>
      <w:r w:rsidR="00D371BD">
        <w:rPr>
          <w:bCs/>
          <w:lang w:val="en-GB"/>
        </w:rPr>
        <w:instrText>ADDIN CSL_CITATION {"citationItems":[{"id":"ITEM-1","itemData":{"URL":"https://population.un.org/wup/Download/","accessed":{"date-parts":[["2022","3","31"]]},"author":[{"dropping-particle":"","family":"UN","given":"","non-dropping-particle":"","parse-names":false,"suffix":""}],"container-title":"Department of Economic and Social Affairs, Population Dynamics","id":"ITEM-1","issued":{"date-parts":[["2018"]]},"title":"World Urbanization Prospects 2018: Percentage of Population at Mid-Year Residing in Urban Areas by region, subregion and country, 1950-2050","type":"webpage"},"uris":["http://www.mendeley.com/documents/?uuid=1b61d549-c28c-4227-969b-11f7b18de995"]}],"mendeley":{"formattedCitation":"(UN, 2018)","manualFormatting":"(United Nations, 2018)","plainTextFormattedCitation":"(UN, 2018)","previouslyFormattedCitation":"(UN, 2018)"},"properties":{"noteIndex":0},"schema":"https://github.com/citation-style-language/schema/raw/master/csl-citation.json"}</w:instrText>
      </w:r>
      <w:r w:rsidR="00C52987">
        <w:rPr>
          <w:bCs/>
          <w:lang w:val="en-GB"/>
        </w:rPr>
        <w:fldChar w:fldCharType="separate"/>
      </w:r>
      <w:r w:rsidR="00C52987" w:rsidRPr="00C52987">
        <w:rPr>
          <w:bCs/>
          <w:noProof/>
          <w:lang w:val="en-GB"/>
        </w:rPr>
        <w:t>(U</w:t>
      </w:r>
      <w:r w:rsidR="007D7FEC">
        <w:rPr>
          <w:bCs/>
          <w:noProof/>
          <w:lang w:val="en-GB"/>
        </w:rPr>
        <w:t xml:space="preserve">nited </w:t>
      </w:r>
      <w:r w:rsidR="00C52987" w:rsidRPr="00C52987">
        <w:rPr>
          <w:bCs/>
          <w:noProof/>
          <w:lang w:val="en-GB"/>
        </w:rPr>
        <w:t>N</w:t>
      </w:r>
      <w:r w:rsidR="007D7FEC">
        <w:rPr>
          <w:bCs/>
          <w:noProof/>
          <w:lang w:val="en-GB"/>
        </w:rPr>
        <w:t>ations</w:t>
      </w:r>
      <w:r w:rsidR="00C52987" w:rsidRPr="00C52987">
        <w:rPr>
          <w:bCs/>
          <w:noProof/>
          <w:lang w:val="en-GB"/>
        </w:rPr>
        <w:t>, 2018)</w:t>
      </w:r>
      <w:r w:rsidR="00C52987">
        <w:rPr>
          <w:bCs/>
          <w:lang w:val="en-GB"/>
        </w:rPr>
        <w:fldChar w:fldCharType="end"/>
      </w:r>
      <w:r w:rsidR="00E60EA6">
        <w:rPr>
          <w:bCs/>
          <w:lang w:val="en-GB"/>
        </w:rPr>
        <w:t xml:space="preserve">, where exposure to environmental </w:t>
      </w:r>
      <w:r w:rsidR="00D95F11">
        <w:rPr>
          <w:bCs/>
          <w:lang w:val="en-GB"/>
        </w:rPr>
        <w:t>hazards</w:t>
      </w:r>
      <w:r w:rsidR="00293810">
        <w:rPr>
          <w:bCs/>
          <w:lang w:val="en-GB"/>
        </w:rPr>
        <w:t>, reduced physical activity,</w:t>
      </w:r>
      <w:r w:rsidR="00AD624C">
        <w:rPr>
          <w:bCs/>
          <w:lang w:val="en-GB"/>
        </w:rPr>
        <w:t xml:space="preserve"> and limited access to nature </w:t>
      </w:r>
      <w:r w:rsidR="00675AFB">
        <w:rPr>
          <w:bCs/>
          <w:lang w:val="en-GB"/>
        </w:rPr>
        <w:t>presumably</w:t>
      </w:r>
      <w:r w:rsidR="00613E26">
        <w:rPr>
          <w:bCs/>
          <w:lang w:val="en-GB"/>
        </w:rPr>
        <w:t xml:space="preserve"> </w:t>
      </w:r>
      <w:r w:rsidR="00AD624C">
        <w:rPr>
          <w:bCs/>
          <w:lang w:val="en-GB"/>
        </w:rPr>
        <w:t>increase</w:t>
      </w:r>
      <w:r w:rsidR="0089629A">
        <w:rPr>
          <w:bCs/>
          <w:lang w:val="en-GB"/>
        </w:rPr>
        <w:t xml:space="preserve"> </w:t>
      </w:r>
      <w:r w:rsidR="0089629A" w:rsidRPr="003C6A66">
        <w:rPr>
          <w:bCs/>
          <w:lang w:val="en-GB"/>
        </w:rPr>
        <w:t>the burden of non-communicable diseases</w:t>
      </w:r>
      <w:r w:rsidR="000406CE">
        <w:rPr>
          <w:bCs/>
          <w:lang w:val="en-GB"/>
        </w:rPr>
        <w:t xml:space="preserve">, including cancer </w:t>
      </w:r>
      <w:r w:rsidR="000406CE">
        <w:rPr>
          <w:bCs/>
          <w:lang w:val="en-GB"/>
        </w:rPr>
        <w:fldChar w:fldCharType="begin" w:fldLock="1"/>
      </w:r>
      <w:r w:rsidR="00F62050">
        <w:rPr>
          <w:bCs/>
          <w:lang w:val="en-GB"/>
        </w:rPr>
        <w:instrText>ADDIN CSL_CITATION {"citationItems":[{"id":"ITEM-1","itemData":{"URL":"https://www.who.int/news-room/fact-sheets/detail/cancer#:~:text=Risk factors for cancers,- and middle-income countries.","accessed":{"date-parts":[["2022","3","31"]]},"author":[{"dropping-particle":"","family":"WHO","given":"","non-dropping-particle":"","parse-names":false,"suffix":""}],"id":"ITEM-1","issued":{"date-parts":[["2022"]]},"title":"Cancer","type":"webpage"},"uris":["http://www.mendeley.com/documents/?uuid=56728845-d30d-47d2-8566-128c15d65253"]}],"mendeley":{"formattedCitation":"(WHO, 2022)","manualFormatting":"(World Health Organization, 2022)","plainTextFormattedCitation":"(WHO, 2022)","previouslyFormattedCitation":"(WHO, 2022)"},"properties":{"noteIndex":0},"schema":"https://github.com/citation-style-language/schema/raw/master/csl-citation.json"}</w:instrText>
      </w:r>
      <w:r w:rsidR="000406CE">
        <w:rPr>
          <w:bCs/>
          <w:lang w:val="en-GB"/>
        </w:rPr>
        <w:fldChar w:fldCharType="separate"/>
      </w:r>
      <w:r w:rsidR="000406CE" w:rsidRPr="000406CE">
        <w:rPr>
          <w:bCs/>
          <w:noProof/>
          <w:lang w:val="en-GB"/>
        </w:rPr>
        <w:t>(W</w:t>
      </w:r>
      <w:r w:rsidR="00F62050">
        <w:rPr>
          <w:bCs/>
          <w:noProof/>
          <w:lang w:val="en-GB"/>
        </w:rPr>
        <w:t xml:space="preserve">orld </w:t>
      </w:r>
      <w:r w:rsidR="000406CE" w:rsidRPr="000406CE">
        <w:rPr>
          <w:bCs/>
          <w:noProof/>
          <w:lang w:val="en-GB"/>
        </w:rPr>
        <w:t>H</w:t>
      </w:r>
      <w:r w:rsidR="00F62050">
        <w:rPr>
          <w:bCs/>
          <w:noProof/>
          <w:lang w:val="en-GB"/>
        </w:rPr>
        <w:t xml:space="preserve">ealth </w:t>
      </w:r>
      <w:r w:rsidR="000406CE" w:rsidRPr="000406CE">
        <w:rPr>
          <w:bCs/>
          <w:noProof/>
          <w:lang w:val="en-GB"/>
        </w:rPr>
        <w:t>O</w:t>
      </w:r>
      <w:r w:rsidR="00F62050">
        <w:rPr>
          <w:bCs/>
          <w:noProof/>
          <w:lang w:val="en-GB"/>
        </w:rPr>
        <w:t>rganization</w:t>
      </w:r>
      <w:r w:rsidR="000406CE" w:rsidRPr="000406CE">
        <w:rPr>
          <w:bCs/>
          <w:noProof/>
          <w:lang w:val="en-GB"/>
        </w:rPr>
        <w:t>, 2022)</w:t>
      </w:r>
      <w:r w:rsidR="000406CE">
        <w:rPr>
          <w:bCs/>
          <w:lang w:val="en-GB"/>
        </w:rPr>
        <w:fldChar w:fldCharType="end"/>
      </w:r>
      <w:r w:rsidR="0089629A">
        <w:rPr>
          <w:bCs/>
          <w:lang w:val="en-GB"/>
        </w:rPr>
        <w:t>.</w:t>
      </w:r>
      <w:r>
        <w:rPr>
          <w:bCs/>
          <w:lang w:val="en-GB"/>
        </w:rPr>
        <w:t xml:space="preserve"> </w:t>
      </w:r>
      <w:r w:rsidR="000A2EFA">
        <w:rPr>
          <w:bCs/>
          <w:lang w:val="en-GB"/>
        </w:rPr>
        <w:t>E</w:t>
      </w:r>
      <w:r w:rsidR="006C5766" w:rsidRPr="003C6A66">
        <w:rPr>
          <w:bCs/>
          <w:lang w:val="en-GB"/>
        </w:rPr>
        <w:t>xposure to</w:t>
      </w:r>
      <w:r w:rsidR="00924BCE">
        <w:rPr>
          <w:bCs/>
          <w:lang w:val="en-GB"/>
        </w:rPr>
        <w:t xml:space="preserve"> </w:t>
      </w:r>
      <w:r w:rsidR="006A5780">
        <w:rPr>
          <w:bCs/>
          <w:lang w:val="en-GB"/>
        </w:rPr>
        <w:t xml:space="preserve">certain </w:t>
      </w:r>
      <w:r w:rsidR="00924BCE">
        <w:rPr>
          <w:bCs/>
          <w:lang w:val="en-GB"/>
        </w:rPr>
        <w:t xml:space="preserve">environmental </w:t>
      </w:r>
      <w:r w:rsidR="002A0F1E">
        <w:rPr>
          <w:bCs/>
          <w:lang w:val="en-GB"/>
        </w:rPr>
        <w:t>characteristics</w:t>
      </w:r>
      <w:r w:rsidR="00924BCE">
        <w:rPr>
          <w:bCs/>
          <w:lang w:val="en-GB"/>
        </w:rPr>
        <w:t>, such as</w:t>
      </w:r>
      <w:r w:rsidR="006C5766" w:rsidRPr="003C6A66">
        <w:rPr>
          <w:bCs/>
          <w:lang w:val="en-GB"/>
        </w:rPr>
        <w:t xml:space="preserve"> green spaces</w:t>
      </w:r>
      <w:r w:rsidR="00267A9C">
        <w:rPr>
          <w:bCs/>
          <w:lang w:val="en-GB"/>
        </w:rPr>
        <w:t>,</w:t>
      </w:r>
      <w:r w:rsidR="006C5766" w:rsidRPr="003C6A66">
        <w:rPr>
          <w:bCs/>
          <w:lang w:val="en-GB"/>
        </w:rPr>
        <w:t xml:space="preserve"> could help </w:t>
      </w:r>
      <w:r w:rsidR="009B1821">
        <w:rPr>
          <w:bCs/>
          <w:lang w:val="en-GB"/>
        </w:rPr>
        <w:t>counterbalance some of the negative effects of urban living</w:t>
      </w:r>
      <w:r w:rsidR="00DE7D54" w:rsidRPr="003C6A66">
        <w:rPr>
          <w:bCs/>
          <w:lang w:val="en-GB"/>
        </w:rPr>
        <w:t xml:space="preserve"> </w:t>
      </w:r>
      <w:r w:rsidR="006C5766" w:rsidRPr="003C6A66">
        <w:rPr>
          <w:bCs/>
          <w:lang w:val="en-GB"/>
        </w:rPr>
        <w:fldChar w:fldCharType="begin" w:fldLock="1"/>
      </w:r>
      <w:r w:rsidR="006C5766">
        <w:rPr>
          <w:bCs/>
          <w:lang w:val="en-GB"/>
        </w:rPr>
        <w:instrText>ADDIN CSL_CITATION {"citationItems":[{"id":"ITEM-1","itemData":{"DOI":"10.1016/j.envres.2017.05.040","ISSN":"0013-9351","author":[{"dropping-particle":"","family":"Bosch","given":"M","non-dropping-particle":"van Den","parse-names":false,"suffix":""},{"dropping-particle":"","family":"Ode Sang","given":"Å","non-dropping-particle":"","parse-names":false,"suffix":""}],"container-title":"Environmental Research","id":"ITEM-1","issue":"November 2016","issued":{"date-parts":[["2017"]]},"page":"373-384","publisher":"Elsevier Inc.","title":"Urban natural environments as nature-based solutions for improved public health – A systematic review of reviews","type":"article-journal","volume":"158"},"uris":["http://www.mendeley.com/documents/?uuid=77dbc6c8-e9b5-40bc-8dec-100f0a397937"]}],"mendeley":{"formattedCitation":"(van Den Bosch and Ode Sang, 2017)","plainTextFormattedCitation":"(van Den Bosch and Ode Sang, 2017)","previouslyFormattedCitation":"(van Den Bosch and Ode Sang, 2017)"},"properties":{"noteIndex":0},"schema":"https://github.com/citation-style-language/schema/raw/master/csl-citation.json"}</w:instrText>
      </w:r>
      <w:r w:rsidR="006C5766" w:rsidRPr="003C6A66">
        <w:rPr>
          <w:bCs/>
          <w:lang w:val="en-GB"/>
        </w:rPr>
        <w:fldChar w:fldCharType="separate"/>
      </w:r>
      <w:r w:rsidR="006C5766" w:rsidRPr="00D10DDE">
        <w:rPr>
          <w:bCs/>
          <w:noProof/>
          <w:lang w:val="en-GB"/>
        </w:rPr>
        <w:t>(van Den Bosch and Ode Sang, 2017)</w:t>
      </w:r>
      <w:r w:rsidR="006C5766" w:rsidRPr="003C6A66">
        <w:rPr>
          <w:bCs/>
          <w:lang w:val="en-GB"/>
        </w:rPr>
        <w:fldChar w:fldCharType="end"/>
      </w:r>
      <w:r w:rsidR="006C5766" w:rsidRPr="003C6A66">
        <w:rPr>
          <w:bCs/>
          <w:lang w:val="en-GB"/>
        </w:rPr>
        <w:t xml:space="preserve">. </w:t>
      </w:r>
      <w:r w:rsidR="008C4164">
        <w:rPr>
          <w:bCs/>
          <w:lang w:val="en-GB"/>
        </w:rPr>
        <w:t xml:space="preserve">First, green spaces could mitigate urban environmental hazards, including air pollution </w:t>
      </w:r>
      <w:r w:rsidR="008C4164">
        <w:rPr>
          <w:bCs/>
          <w:lang w:val="en-GB"/>
        </w:rPr>
        <w:fldChar w:fldCharType="begin" w:fldLock="1"/>
      </w:r>
      <w:r w:rsidR="008C4164">
        <w:rPr>
          <w:bCs/>
          <w:lang w:val="en-GB"/>
        </w:rPr>
        <w:instrText>ADDIN CSL_CITATION {"citationItems":[{"id":"ITEM-1","itemData":{"DOI":"https://doi.org/10.1016/j.envres.2017.06.028","ISSN":"0013-9351","abstract":"Background In a rapidly urbanizing world, many people have little contact with natural environments, which may affect health and well-being. Existing reviews generally conclude that residential greenspace is beneficial to health. However, the processes generating these benefits and how they can be best promoted remain unclear. Objectives During an Expert Workshop held in September 2016, the evidence linking greenspace and health was reviewed from a transdisciplinary standpoint, with a particular focus on potential underlying biopsychosocial pathways and how these can be explored and organized to support policy-relevant population health research. Discussions Potential pathways linking greenspace to health are here presented in three domains, which emphasize three general functions of greenspace: reducing harm (e.g. reducing exposure to air pollution, noise and heat), restoring capacities (e.g. attention restoration and physiological stress recovery) and building capacities (e.g. encouraging physical activity and facilitating social cohesion). Interrelations between among the three domains are also noted. Among several recommendations, future studies should: use greenspace and behavioural measures that are relevant to hypothesized pathways; include assessment of presence, access and use of greenspace; use longitudinal, interventional and (quasi)experimental study designs to assess causation; and include low and middle income countries given their absence in the existing literature. Cultural, climatic, geographic and other contextual factors also need further consideration. Conclusions While the existing evidence affirms beneficial impacts of greenspace on health, much remains to be learned about the specific pathways and functional form of such relationships, and how these may vary by context, population groups and health outcomes. This Report provides guidance for further epidemiological research with the goal of creating new evidence upon which to develop policy recommendations.","author":[{"dropping-particle":"","family":"Markevych","given":"Iana","non-dropping-particle":"","parse-names":false,"suffix":""},{"dropping-particle":"","family":"Schoierer","given":"Julia","non-dropping-particle":"","parse-names":false,"suffix":""},{"dropping-particle":"","family":"Hartig","given":"Terry","non-dropping-particle":"","parse-names":false,"suffix":""},{"dropping-particle":"","family":"Chudnovsky","given":"Alexandra","non-dropping-particle":"","parse-names":false,"suffix":""},{"dropping-particle":"","family":"Hystad","given":"Perry","non-dropping-particle":"","parse-names":false,"suffix":""},{"dropping-particle":"","family":"Dzhambov","given":"Angel M","non-dropping-particle":"","parse-names":false,"suffix":""},{"dropping-particle":"","family":"Vries","given":"Sjerp","non-dropping-particle":"de","parse-names":false,"suffix":""},{"dropping-particle":"","family":"Triguero-Mas","given":"Margarita","non-dropping-particle":"","parse-names":false,"suffix":""},{"dropping-particle":"","family":"Brauer","given":"Michael","non-dropping-particle":"","parse-names":false,"suffix":""},{"dropping-particle":"","family":"Nieuwenhuijsen","given":"Mark J","non-dropping-particle":"","parse-names":false,"suffix":""},{"dropping-particle":"","family":"Lupp","given":"Gerd","non-dropping-particle":"","parse-names":false,"suffix":""},{"dropping-particle":"","family":"Richardson","given":"Elizabeth A","non-dropping-particle":"","parse-names":false,"suffix":""},{"dropping-particle":"","family":"Astell-Burt","given":"Thomas","non-dropping-particle":"","parse-names":false,"suffix":""},{"dropping-particle":"","family":"Dimitrova","given":"Donka","non-dropping-particle":"","parse-names":false,"suffix":""},{"dropping-particle":"","family":"Feng","given":"Xiaoqi","non-dropping-particle":"","parse-names":false,"suffix":""},{"dropping-particle":"","family":"Sadeh","given":"Maya","non-dropping-particle":"","parse-names":false,"suffix":""},{"dropping-particle":"","family":"Standl","given":"Marie","non-dropping-particle":"","parse-names":false,"suffix":""},{"dropping-particle":"","family":"Heinrich","given":"Joachim","non-dropping-particle":"","parse-names":false,"suffix":""},{"dropping-particle":"","family":"Fuertes","given":"Elaine","non-dropping-particle":"","parse-names":false,"suffix":""}],"container-title":"Environmental Research","id":"ITEM-1","issued":{"date-parts":[["2017"]]},"page":"301-317","title":"Exploring pathways linking greenspace to health: Theoretical and methodological guidance","type":"article-journal","volume":"158"},"uris":["http://www.mendeley.com/documents/?uuid=204ae9a4-b7e6-414c-8786-eadda42f875d"]}],"mendeley":{"formattedCitation":"(Markevych et al., 2017)","plainTextFormattedCitation":"(Markevych et al., 2017)","previouslyFormattedCitation":"(Markevych et al., 2017)"},"properties":{"noteIndex":0},"schema":"https://github.com/citation-style-language/schema/raw/master/csl-citation.json"}</w:instrText>
      </w:r>
      <w:r w:rsidR="008C4164">
        <w:rPr>
          <w:bCs/>
          <w:lang w:val="en-GB"/>
        </w:rPr>
        <w:fldChar w:fldCharType="separate"/>
      </w:r>
      <w:r w:rsidR="008C4164" w:rsidRPr="00D10DDE">
        <w:rPr>
          <w:bCs/>
          <w:noProof/>
          <w:lang w:val="en-GB"/>
        </w:rPr>
        <w:t>(Markevych et al., 2017)</w:t>
      </w:r>
      <w:r w:rsidR="008C4164">
        <w:rPr>
          <w:bCs/>
          <w:lang w:val="en-GB"/>
        </w:rPr>
        <w:fldChar w:fldCharType="end"/>
      </w:r>
      <w:r w:rsidR="001B374C">
        <w:rPr>
          <w:bCs/>
          <w:lang w:val="en-GB"/>
        </w:rPr>
        <w:t>.</w:t>
      </w:r>
      <w:r w:rsidR="0013124B">
        <w:rPr>
          <w:bCs/>
          <w:lang w:val="en-GB"/>
        </w:rPr>
        <w:t xml:space="preserve"> </w:t>
      </w:r>
      <w:r w:rsidR="001B374C">
        <w:rPr>
          <w:bCs/>
          <w:lang w:val="en-GB"/>
        </w:rPr>
        <w:t>A</w:t>
      </w:r>
      <w:r w:rsidR="00924BCE" w:rsidRPr="003C6A66">
        <w:rPr>
          <w:bCs/>
          <w:lang w:val="en-GB"/>
        </w:rPr>
        <w:t xml:space="preserve">ir pollution is a recognized carcinogen </w:t>
      </w:r>
      <w:r w:rsidR="00924BCE" w:rsidRPr="003C6A66">
        <w:rPr>
          <w:bCs/>
          <w:lang w:val="en-GB"/>
        </w:rPr>
        <w:fldChar w:fldCharType="begin" w:fldLock="1"/>
      </w:r>
      <w:r w:rsidR="00924BCE">
        <w:rPr>
          <w:bCs/>
          <w:lang w:val="en-GB"/>
        </w:rPr>
        <w:instrText>ADDIN CSL_CITATION {"citationItems":[{"id":"ITEM-1","itemData":{"author":[{"dropping-particle":"","family":"International Agency for Research on Cancer (IARC)","given":"","non-dropping-particle":"","parse-names":false,"suffix":""}],"id":"ITEM-1","issued":{"date-parts":[["2013"]]},"publisher-place":"Lyon","title":"Outdoor Air Pollution. IARC Monographs on the Evaluation of Carcinogenic Risks to Humans; volume 109","type":"report"},"uris":["http://www.mendeley.com/documents/?uuid=7e193fc4-2b5d-4032-967c-26f545dfb8ab"]}],"mendeley":{"formattedCitation":"(International Agency for Research on Cancer (IARC), 2013)","plainTextFormattedCitation":"(International Agency for Research on Cancer (IARC), 2013)","previouslyFormattedCitation":"(International Agency for Research on Cancer (IARC), 2013)"},"properties":{"noteIndex":0},"schema":"https://github.com/citation-style-language/schema/raw/master/csl-citation.json"}</w:instrText>
      </w:r>
      <w:r w:rsidR="00924BCE" w:rsidRPr="003C6A66">
        <w:rPr>
          <w:bCs/>
          <w:lang w:val="en-GB"/>
        </w:rPr>
        <w:fldChar w:fldCharType="separate"/>
      </w:r>
      <w:r w:rsidR="00924BCE" w:rsidRPr="00D10DDE">
        <w:rPr>
          <w:bCs/>
          <w:noProof/>
          <w:lang w:val="en-GB"/>
        </w:rPr>
        <w:t>(International Agency for Research on Cancer (IARC), 2013)</w:t>
      </w:r>
      <w:r w:rsidR="00924BCE" w:rsidRPr="003C6A66">
        <w:rPr>
          <w:bCs/>
          <w:lang w:val="en-GB"/>
        </w:rPr>
        <w:fldChar w:fldCharType="end"/>
      </w:r>
      <w:r w:rsidR="00924BCE">
        <w:rPr>
          <w:bCs/>
          <w:lang w:val="en-GB"/>
        </w:rPr>
        <w:t xml:space="preserve"> associated with</w:t>
      </w:r>
      <w:r w:rsidR="00862B31">
        <w:rPr>
          <w:bCs/>
          <w:lang w:val="en-GB"/>
        </w:rPr>
        <w:t xml:space="preserve"> several</w:t>
      </w:r>
      <w:r w:rsidR="0013124B">
        <w:rPr>
          <w:bCs/>
          <w:lang w:val="en-GB"/>
        </w:rPr>
        <w:t xml:space="preserve"> cancer </w:t>
      </w:r>
      <w:r w:rsidR="00862B31">
        <w:rPr>
          <w:bCs/>
          <w:lang w:val="en-GB"/>
        </w:rPr>
        <w:t>outcomes, especially lung cancer</w:t>
      </w:r>
      <w:r w:rsidR="0013124B">
        <w:rPr>
          <w:bCs/>
          <w:lang w:val="en-GB"/>
        </w:rPr>
        <w:t xml:space="preserve"> </w:t>
      </w:r>
      <w:r w:rsidR="0013124B">
        <w:rPr>
          <w:bCs/>
          <w:lang w:val="en-GB"/>
        </w:rPr>
        <w:fldChar w:fldCharType="begin" w:fldLock="1"/>
      </w:r>
      <w:r w:rsidR="0013124B">
        <w:rPr>
          <w:bCs/>
          <w:lang w:val="en-GB"/>
        </w:rPr>
        <w:instrText>ADDIN CSL_CITATION {"citationItems":[{"id":"ITEM-1","itemData":{"DOI":"https://doi.org/10.3322/caac.21632","ISSN":"0007-9235","abstract":"Abstract Outdoor air pollution is a major contributor to the burden of disease worldwide. Most of the global population resides in places where air pollution levels, because of emissions from industry, power generation, transportation, and domestic burning, considerably exceed the World Health Organization's health-based air-quality guidelines. Outdoor air pollution poses an urgent worldwide public health challenge because it is ubiquitous and has numerous serious adverse human health effects, including cancer. Currently, there is substantial evidence from studies of humans and experimental animals as well as mechanistic evidence to support a causal link between outdoor (ambient) air pollution, and especially particulate matter (PM) in outdoor air, with lung cancer incidence and mortality. It is estimated that hundreds of thousands of lung cancer deaths annually worldwide are attributable to PM air pollution. Epidemiological evidence on outdoor air pollution and the risk of other types of cancer, such as bladder cancer or breast cancer, is more limited. Outdoor air pollution may also be associated with poorer cancer survival, although further research is needed. This report presents an overview of outdoor air pollutants, sources, and global levels, as well as a description of epidemiological evidence linking outdoor air pollution with cancer incidence and mortality. Biological mechanisms of air pollution-derived carcinogenesis are also described. This report concludes by summarizing public health/policy recommendations, including multilevel interventions aimed at individual, community, and regional scales. Specific roles for medical and health care communities with regard to prevention and advocacy and recommendations for further research are also described.","author":[{"dropping-particle":"","family":"Turner","given":"Michelle C","non-dropping-particle":"","parse-names":false,"suffix":""},{"dropping-particle":"","family":"Andersen","given":"Zorana J","non-dropping-particle":"","parse-names":false,"suffix":""},{"dropping-particle":"","family":"Baccarelli","given":"Andrea","non-dropping-particle":"","parse-names":false,"suffix":""},{"dropping-particle":"","family":"Diver","given":"W Ryan","non-dropping-particle":"","parse-names":false,"suffix":""},{"dropping-particle":"","family":"Gapstur","given":"Susan M","non-dropping-particle":"","parse-names":false,"suffix":""},{"dropping-particle":"","family":"Pope III","given":"C Arden","non-dropping-particle":"","parse-names":false,"suffix":""},{"dropping-particle":"","family":"Prada","given":"Diddier","non-dropping-particle":"","parse-names":false,"suffix":""},{"dropping-particle":"","family":"Samet","given":"Jonathan","non-dropping-particle":"","parse-names":false,"suffix":""},{"dropping-particle":"","family":"Thurston","given":"George","non-dropping-particle":"","parse-names":false,"suffix":""},{"dropping-particle":"","family":"Cohen","given":"Aaron","non-dropping-particle":"","parse-names":false,"suffix":""}],"container-title":"CA: A Cancer Journal for Clinicians","id":"ITEM-1","issue":"6","issued":{"date-parts":[["2020","11","1"]]},"note":"https://doi.org/10.3322/caac.21632","page":"460-479","publisher":"American Cancer Society","title":"Outdoor air pollution and cancer: An overview of the current evidence and public health recommendations","type":"article-journal","volume":"70"},"uris":["http://www.mendeley.com/documents/?uuid=a79a417b-cf4f-4ae9-ac2a-80d4505c878e"]}],"mendeley":{"formattedCitation":"(Turner et al., 2020)","plainTextFormattedCitation":"(Turner et al., 2020)","previouslyFormattedCitation":"(Turner et al., 2020)"},"properties":{"noteIndex":0},"schema":"https://github.com/citation-style-language/schema/raw/master/csl-citation.json"}</w:instrText>
      </w:r>
      <w:r w:rsidR="0013124B">
        <w:rPr>
          <w:bCs/>
          <w:lang w:val="en-GB"/>
        </w:rPr>
        <w:fldChar w:fldCharType="separate"/>
      </w:r>
      <w:r w:rsidR="0013124B" w:rsidRPr="00D10DDE">
        <w:rPr>
          <w:bCs/>
          <w:noProof/>
          <w:lang w:val="en-GB"/>
        </w:rPr>
        <w:t>(Turner et al., 2020)</w:t>
      </w:r>
      <w:r w:rsidR="0013124B">
        <w:rPr>
          <w:bCs/>
          <w:lang w:val="en-GB"/>
        </w:rPr>
        <w:fldChar w:fldCharType="end"/>
      </w:r>
      <w:r w:rsidR="0013124B">
        <w:rPr>
          <w:bCs/>
          <w:lang w:val="en-GB"/>
        </w:rPr>
        <w:t xml:space="preserve">. Second, </w:t>
      </w:r>
      <w:r w:rsidR="00F64A07">
        <w:rPr>
          <w:bCs/>
          <w:lang w:val="en-GB"/>
        </w:rPr>
        <w:t>green spaces could</w:t>
      </w:r>
      <w:r w:rsidR="00BF5CD9">
        <w:rPr>
          <w:bCs/>
          <w:lang w:val="en-GB"/>
        </w:rPr>
        <w:t xml:space="preserve"> </w:t>
      </w:r>
      <w:r w:rsidR="006C5766" w:rsidRPr="003C6A66">
        <w:rPr>
          <w:bCs/>
          <w:lang w:val="en-GB"/>
        </w:rPr>
        <w:t>promot</w:t>
      </w:r>
      <w:r w:rsidR="00F64A07">
        <w:rPr>
          <w:bCs/>
          <w:lang w:val="en-GB"/>
        </w:rPr>
        <w:t>e</w:t>
      </w:r>
      <w:r w:rsidR="006C5766" w:rsidRPr="003C6A66">
        <w:rPr>
          <w:bCs/>
          <w:lang w:val="en-GB"/>
        </w:rPr>
        <w:t xml:space="preserve"> physical activity, </w:t>
      </w:r>
      <w:r w:rsidR="00595E0C">
        <w:rPr>
          <w:bCs/>
          <w:lang w:val="en-GB"/>
        </w:rPr>
        <w:t xml:space="preserve">associated with </w:t>
      </w:r>
      <w:r w:rsidR="006C5766">
        <w:rPr>
          <w:bCs/>
          <w:lang w:val="en-GB"/>
        </w:rPr>
        <w:t>decrease</w:t>
      </w:r>
      <w:r w:rsidR="00595E0C">
        <w:rPr>
          <w:bCs/>
          <w:lang w:val="en-GB"/>
        </w:rPr>
        <w:t>d</w:t>
      </w:r>
      <w:r w:rsidR="006C5766" w:rsidRPr="003C6A66">
        <w:rPr>
          <w:bCs/>
          <w:lang w:val="en-GB"/>
        </w:rPr>
        <w:t xml:space="preserve"> cancer </w:t>
      </w:r>
      <w:r w:rsidR="006C5766">
        <w:rPr>
          <w:bCs/>
          <w:lang w:val="en-GB"/>
        </w:rPr>
        <w:t>risk</w:t>
      </w:r>
      <w:r w:rsidR="006C5766" w:rsidRPr="003C6A66">
        <w:rPr>
          <w:bCs/>
          <w:lang w:val="en-GB"/>
        </w:rPr>
        <w:t xml:space="preserve"> </w:t>
      </w:r>
      <w:r w:rsidR="006C5766">
        <w:rPr>
          <w:bCs/>
          <w:lang w:val="en-GB"/>
        </w:rPr>
        <w:fldChar w:fldCharType="begin" w:fldLock="1"/>
      </w:r>
      <w:r w:rsidR="006C5766">
        <w:rPr>
          <w:bCs/>
          <w:lang w:val="en-GB"/>
        </w:rPr>
        <w:instrText>ADDIN CSL_CITATION {"citationItems":[{"id":"ITEM-1","itemData":{"DOI":"10.1093/annonc/mdu012","ISSN":"0923-7534","author":[{"dropping-particle":"","family":"Schmid","given":"D","non-dropping-particle":"","parse-names":false,"suffix":""},{"dropping-particle":"","family":"Leitzmann","given":"M F","non-dropping-particle":"","parse-names":false,"suffix":""}],"container-title":"Annals of Oncology","id":"ITEM-1","issue":"7","issued":{"date-parts":[["2014","7","1"]]},"note":"doi: 10.1093/annonc/mdu012","page":"1293-1311","publisher":"Elsevier","title":"Association between physical activity and mortality among breast cancer and colorectal cancer survivors: a systematic review and meta-analysis","type":"article-journal","volume":"25"},"uris":["http://www.mendeley.com/documents/?uuid=ab49ecaa-e285-45a5-b138-eed61372628b"]},{"id":"ITEM-2","itemData":{"DOI":"https://doi.org/10.1016/j.lungcan.2016.01.021","ISSN":"0169-5002","abstract":"Objectives We conducted a systematic review and meta-analysis of the association between recreational physical activity and lung cancer risk to update previous analyses and to examine population subgroups of interest defined by smoking status and histology. Materials and methods We searched the PubMed database for studies up to May 2015. Individual study characteristics were abstracted including study design, number of cases, assessment of recreational physical activity and type and level of adjustment for confounding factors. Combined effect estimates were calculated for the overall associations and across subgroups of interest. Results We identified 28 studies that were eligible for inclusion in the meta-analysis. The overall analysis indicated an inverse association between recreational physical activity and lung cancer risk (Relative Risk (RR), 0.76; 95% Confidence Interval (CI), 0.69–0.85, p-value: &lt;0.001). Similar inverse associations with risk were also noted for all evaluated histological subtypes, including adenocarcinoma (RR, 0.80; 95% CI, 0.72–0.88), squamous (RR, 0.80; 95% CI, 0.71–0.90) and small cell (RR, 0.79; 95% CI, 0.66–0.94). When we examined effects by smoking status, inverse associations between recreational physical activity and lung cancer risk were observed among former (RR, 0.77; 95% CI, 0.69–0.85) and current smokers (RR, 0.77; 95% CI, 0.72–0.83), but not among never smokers (RR, 0.96; 95% CI, 0.79–1.18). Conclusion Results from this meta-analysis suggest that regular recreational physical activity may be associated with reduced risk of lung cancer. Only four studies examining never smokers were identified, suggesting the need for additional research in this population.","author":[{"dropping-particle":"","family":"Brenner","given":"Darren R","non-dropping-particle":"","parse-names":false,"suffix":""},{"dropping-particle":"","family":"Yannitsos","given":"Demetra H","non-dropping-particle":"","parse-names":false,"suffix":""},{"dropping-particle":"","family":"Farris","given":"Megan S","non-dropping-particle":"","parse-names":false,"suffix":""},{"dropping-particle":"","family":"Johansson","given":"Mattias","non-dropping-particle":"","parse-names":false,"suffix":""},{"dropping-particle":"","family":"Friedenreich","given":"Christine M","non-dropping-particle":"","parse-names":false,"suffix":""}],"container-title":"Lung Cancer","id":"ITEM-2","issued":{"date-parts":[["2016"]]},"page":"17-27","title":"Leisure-time physical activity and lung cancer risk: A systematic review and meta-analysis","type":"article-journal","volume":"95"},"uris":["http://www.mendeley.com/documents/?uuid=df72e6ef-fbde-4352-a571-f3c959032677"]}],"mendeley":{"formattedCitation":"(Brenner et al., 2016; Schmid and Leitzmann, 2014)","plainTextFormattedCitation":"(Brenner et al., 2016; Schmid and Leitzmann, 2014)","previouslyFormattedCitation":"(Brenner et al., 2016; Schmid and Leitzmann, 2014)"},"properties":{"noteIndex":0},"schema":"https://github.com/citation-style-language/schema/raw/master/csl-citation.json"}</w:instrText>
      </w:r>
      <w:r w:rsidR="006C5766">
        <w:rPr>
          <w:bCs/>
          <w:lang w:val="en-GB"/>
        </w:rPr>
        <w:fldChar w:fldCharType="separate"/>
      </w:r>
      <w:r w:rsidR="006C5766" w:rsidRPr="00D10DDE">
        <w:rPr>
          <w:bCs/>
          <w:noProof/>
          <w:lang w:val="en-GB"/>
        </w:rPr>
        <w:t>(Brenner et al., 2016; Schmid and Leitzmann, 2014)</w:t>
      </w:r>
      <w:r w:rsidR="006C5766">
        <w:rPr>
          <w:bCs/>
          <w:lang w:val="en-GB"/>
        </w:rPr>
        <w:fldChar w:fldCharType="end"/>
      </w:r>
      <w:r w:rsidR="006C5766" w:rsidRPr="003C6A66">
        <w:rPr>
          <w:bCs/>
          <w:lang w:val="en-GB"/>
        </w:rPr>
        <w:t xml:space="preserve">. </w:t>
      </w:r>
      <w:r w:rsidR="00884368">
        <w:rPr>
          <w:bCs/>
          <w:lang w:val="en-GB"/>
        </w:rPr>
        <w:t>Third</w:t>
      </w:r>
      <w:r w:rsidR="006C5766" w:rsidRPr="003C6A66">
        <w:rPr>
          <w:bCs/>
          <w:lang w:val="en-GB"/>
        </w:rPr>
        <w:t xml:space="preserve">, green spaces could enhance social cohesion </w:t>
      </w:r>
      <w:r w:rsidR="006C5766" w:rsidRPr="003C6A66">
        <w:rPr>
          <w:bCs/>
          <w:lang w:val="en-GB"/>
        </w:rPr>
        <w:fldChar w:fldCharType="begin" w:fldLock="1"/>
      </w:r>
      <w:r w:rsidR="006C5766">
        <w:rPr>
          <w:bCs/>
          <w:lang w:val="en-GB"/>
        </w:rPr>
        <w:instrText>ADDIN CSL_CITATION {"citationItems":[{"id":"ITEM-1","itemData":{"DOI":"10.1016/j.healthplace.2008.09.006","ISBN":"1353-8292 (Print)\\r1353-8292 (Linking)","ISSN":"13538292","PMID":"19022699","abstract":"This study explored whether social contacts are an underlying mechanism behind the relationship between green space and health. We measured social contacts and health in 10,089 residents of the Netherlands and calculated the percentage of green within 1 and a 3 km radius around the postal code coordinates for each individual's address. After adjustment for socio-economic and demographic characteristics, less green space in people's living environment coincided with feelings of loneliness and with perceived shortage of social support. Loneliness and perceived shortage of social support partly mediated the relation between green space and health. © 2008 Elsevier Ltd. All rights reserved.","author":[{"dropping-particle":"","family":"Maas","given":"Jolanda","non-dropping-particle":"","parse-names":false,"suffix":""},{"dropping-particle":"","family":"Dillen","given":"Sonja M.E.","non-dropping-particle":"van","parse-names":false,"suffix":""},{"dropping-particle":"","family":"Verheij","given":"Robert A.","non-dropping-particle":"","parse-names":false,"suffix":""},{"dropping-particle":"","family":"Groenewegen","given":"Peter P.","non-dropping-particle":"","parse-names":false,"suffix":""}],"container-title":"Health and Place","id":"ITEM-1","issued":{"date-parts":[["2009"]]},"page":"586–95","title":"Social contacts as a possible mechanism behind the relation between green space and health","type":"article-journal","volume":"15"},"uris":["http://www.mendeley.com/documents/?uuid=bc5fdc8f-3498-488a-a531-518143215d51"]}],"mendeley":{"formattedCitation":"(Maas et al., 2009)","plainTextFormattedCitation":"(Maas et al., 2009)","previouslyFormattedCitation":"(Maas et al., 2009)"},"properties":{"noteIndex":0},"schema":"https://github.com/citation-style-language/schema/raw/master/csl-citation.json"}</w:instrText>
      </w:r>
      <w:r w:rsidR="006C5766" w:rsidRPr="003C6A66">
        <w:rPr>
          <w:bCs/>
          <w:lang w:val="en-GB"/>
        </w:rPr>
        <w:fldChar w:fldCharType="separate"/>
      </w:r>
      <w:r w:rsidR="006C5766" w:rsidRPr="00D10DDE">
        <w:rPr>
          <w:bCs/>
          <w:noProof/>
          <w:lang w:val="en-GB"/>
        </w:rPr>
        <w:t>(Maas et al., 2009)</w:t>
      </w:r>
      <w:r w:rsidR="006C5766" w:rsidRPr="003C6A66">
        <w:rPr>
          <w:bCs/>
          <w:lang w:val="en-GB"/>
        </w:rPr>
        <w:fldChar w:fldCharType="end"/>
      </w:r>
      <w:r w:rsidR="006C5766" w:rsidRPr="003C6A66">
        <w:rPr>
          <w:bCs/>
          <w:lang w:val="en-GB"/>
        </w:rPr>
        <w:t xml:space="preserve">, which may influence cancer survival </w:t>
      </w:r>
      <w:r w:rsidR="007E37B1">
        <w:rPr>
          <w:bCs/>
          <w:lang w:val="en-GB"/>
        </w:rPr>
        <w:fldChar w:fldCharType="begin" w:fldLock="1"/>
      </w:r>
      <w:r w:rsidR="00C90FA8">
        <w:rPr>
          <w:bCs/>
          <w:lang w:val="en-GB"/>
        </w:rPr>
        <w:instrText>ADDIN CSL_CITATION {"citationItems":[{"id":"ITEM-1","itemData":{"DOI":"10.3390/cancers13050933","ISBN":"2072-6694 ","abstract":"Background: Socio-economic position is associated with cancer incidence, but the direction and magnitude of this relationship differs across cancer types, geographical regions, and socio-economic parameters. In this nationwide cohort study, we evaluated the association between different individual-level socio-economic and -demographic factors, cancer incidence, and stage at diagnosis in Belgium. Methods: The 2001 census was linked to the nationwide Belgian Cancer Registry for cancer diagnoses between 2004 and 2013. Socio-economic parameters included education level, household composition, and housing conditions. Incidence rate ratios were assessed through Poisson regression models. Stage-specific analyses were conducted through logistic regression models. Results: Deprived groups showed higher risks for lung cancer and head and neck cancers, whereas an inverse relation was observed for malignant melanoma and female breast cancer. Typically, associations were more pronounced in men than in women. A lower socio-economic position was associated with reduced chances of being diagnosed with known or early stage at diagnosis; the strongest disparities were found for male lung cancer and female breast cancer. Conclusions: This study identified population groups at increased risk of cancer and unknown or advanced stage at diagnosis in Belgium. Further investigation is needed to build a comprehensive picture of socio-economic inequality in cancer incidence.","author":[{"dropping-particle":"","family":"Rosskamp","given":"Michael","non-dropping-particle":"","parse-names":false,"suffix":""},{"dropping-particle":"","family":"Verbeeck","given":"Julie","non-dropping-particle":"","parse-names":false,"suffix":""},{"dropping-particle":"","family":"Gadeyne","given":"Sylvie","non-dropping-particle":"","parse-names":false,"suffix":""},{"dropping-particle":"","family":"Verdoodt","given":"Freija","non-dropping-particle":"","parse-names":false,"suffix":""},{"dropping-particle":"","family":"Schutter","given":"Harlinde","non-dropping-particle":"De","parse-names":false,"suffix":""}],"container-title":"Cancers ","id":"ITEM-1","issue":"5","issued":{"date-parts":[["2021"]]},"title":"Socio-Economic Position, Cancer Incidence and Stage at Diagnosis: A Nationwide Cohort Study in Belgium","type":"article","volume":"13"},"uris":["http://www.mendeley.com/documents/?uuid=8f517e70-62a1-4526-a33f-e26dd281bfe6"]}],"mendeley":{"formattedCitation":"(Rosskamp et al., 2021)","plainTextFormattedCitation":"(Rosskamp et al., 2021)","previouslyFormattedCitation":"(Rosskamp et al., 2021)"},"properties":{"noteIndex":0},"schema":"https://github.com/citation-style-language/schema/raw/master/csl-citation.json"}</w:instrText>
      </w:r>
      <w:r w:rsidR="007E37B1">
        <w:rPr>
          <w:bCs/>
          <w:lang w:val="en-GB"/>
        </w:rPr>
        <w:fldChar w:fldCharType="separate"/>
      </w:r>
      <w:r w:rsidR="007E37B1" w:rsidRPr="007E37B1">
        <w:rPr>
          <w:bCs/>
          <w:noProof/>
          <w:lang w:val="en-GB"/>
        </w:rPr>
        <w:t>(Rosskamp et al., 2021)</w:t>
      </w:r>
      <w:r w:rsidR="007E37B1">
        <w:rPr>
          <w:bCs/>
          <w:lang w:val="en-GB"/>
        </w:rPr>
        <w:fldChar w:fldCharType="end"/>
      </w:r>
      <w:r w:rsidR="007E37B1">
        <w:rPr>
          <w:bCs/>
          <w:lang w:val="en-GB"/>
        </w:rPr>
        <w:t>.</w:t>
      </w:r>
      <w:r w:rsidR="006C5766" w:rsidRPr="003C6A66">
        <w:rPr>
          <w:bCs/>
          <w:lang w:val="en-GB"/>
        </w:rPr>
        <w:t xml:space="preserve"> </w:t>
      </w:r>
      <w:r w:rsidR="00595E0C">
        <w:rPr>
          <w:bCs/>
          <w:lang w:val="en-GB"/>
        </w:rPr>
        <w:t>Finally</w:t>
      </w:r>
      <w:r w:rsidR="006C5766" w:rsidRPr="003C6A66">
        <w:rPr>
          <w:bCs/>
          <w:lang w:val="en-GB"/>
        </w:rPr>
        <w:t xml:space="preserve">, spending time in natural environments could reduce stress </w:t>
      </w:r>
      <w:r w:rsidR="006C5766" w:rsidRPr="003C6A66">
        <w:rPr>
          <w:bCs/>
          <w:lang w:val="en-GB"/>
        </w:rPr>
        <w:fldChar w:fldCharType="begin" w:fldLock="1"/>
      </w:r>
      <w:r w:rsidR="006C5766">
        <w:rPr>
          <w:bCs/>
          <w:lang w:val="en-GB"/>
        </w:rPr>
        <w:instrText>ADDIN CSL_CITATION {"citationItems":[{"id":"ITEM-1","itemData":{"DOI":"10.3390/ijerph120404354","ISBN":"3493204590","abstract":"Many studies conducted during the last decade suggest the mental health benefits of green and blue spaces. We aimed to systematically review the available literature on the long-term mental health benefits of residential green and blue spaces by including studies that used standardized tools or objective measures of both the exposures and the outcomes of interest. We followed the PRISMA statement guidelines for reporting systematic reviews and meta-analysis. In total 28 studies were included in the systematic review. We found limited evidence for a causal relationship between surrounding greenness and mental health in adults, whereas the evidence was inadequate in children. The evidence was also inadequate for the other exposures evaluated (access to green spaces, quality of green spaces, and blue spaces) in both adults and children. The main limitation was the limited number of studies, together with the heterogeneity regarding exposure assessment. Given the increase in mental health problems and the current rapid urbanization worldwide, results of the present systematic review should be taken into account in future urban planning. However, further research is needed to provide more consistent evidence and more detailed information on the mechanisms and the characteristics of the green and blue spaces that promote better mental health. We provide recommendations for future studies in order to provide consistent and evidence-based recommendations for policy makers.","author":[{"dropping-particle":"","family":"Gascon","given":"Mireia","non-dropping-particle":"","parse-names":false,"suffix":""},{"dropping-particle":"","family":"Triguero-Mas","given":"Margarita","non-dropping-particle":"","parse-names":false,"suffix":""},{"dropping-particle":"","family":"Martínez","given":"David","non-dropping-particle":"","parse-names":false,"suffix":""},{"dropping-particle":"","family":"Dadvand","given":"Payam","non-dropping-particle":"","parse-names":false,"suffix":""}],"container-title":"International Journal of Environmental Research and Public Health","id":"ITEM-1","issued":{"date-parts":[["2015"]]},"page":"4354-4379","title":"Mental Health Benefits of Long-Term Exposure to Residential Green and Blue Spaces : A Systematic Review","type":"article-journal","volume":"12"},"uris":["http://www.mendeley.com/documents/?uuid=58298b73-aa51-42b0-ba77-cf8e3f14be85"]}],"mendeley":{"formattedCitation":"(Gascon et al., 2015)","plainTextFormattedCitation":"(Gascon et al., 2015)","previouslyFormattedCitation":"(Gascon et al., 2015)"},"properties":{"noteIndex":0},"schema":"https://github.com/citation-style-language/schema/raw/master/csl-citation.json"}</w:instrText>
      </w:r>
      <w:r w:rsidR="006C5766" w:rsidRPr="003C6A66">
        <w:rPr>
          <w:bCs/>
          <w:lang w:val="en-GB"/>
        </w:rPr>
        <w:fldChar w:fldCharType="separate"/>
      </w:r>
      <w:r w:rsidR="006C5766" w:rsidRPr="00D10DDE">
        <w:rPr>
          <w:bCs/>
          <w:noProof/>
          <w:lang w:val="en-GB"/>
        </w:rPr>
        <w:t>(Gascon et al., 2015)</w:t>
      </w:r>
      <w:r w:rsidR="006C5766" w:rsidRPr="003C6A66">
        <w:rPr>
          <w:bCs/>
          <w:lang w:val="en-GB"/>
        </w:rPr>
        <w:fldChar w:fldCharType="end"/>
      </w:r>
      <w:r w:rsidR="006C5766" w:rsidRPr="003C6A66">
        <w:rPr>
          <w:bCs/>
          <w:lang w:val="en-GB"/>
        </w:rPr>
        <w:t xml:space="preserve">, potentially improving cancer prognosis </w:t>
      </w:r>
      <w:r w:rsidR="006C5766" w:rsidRPr="003C6A66">
        <w:rPr>
          <w:bCs/>
          <w:lang w:val="en-GB"/>
        </w:rPr>
        <w:fldChar w:fldCharType="begin" w:fldLock="1"/>
      </w:r>
      <w:r w:rsidR="006C5766">
        <w:rPr>
          <w:bCs/>
          <w:lang w:val="en-GB"/>
        </w:rPr>
        <w:instrText>ADDIN CSL_CITATION {"citationItems":[{"id":"ITEM-1","itemData":{"DOI":"DOI: 10.1017/S0033291709992285","ISSN":"0033-2917","abstract":"BackgroundThe goal of the present study was to analyze associations between depression and mortality of cancer patients and to test whether these associations would vary by study characteristics.MethodMeta-analysis was used for integrating the results of 105 samples derived from 76 prospective studies.ResultsDepression diagnosis and higher levels of depressive symptoms predicted elevated mortality. This was true in studies that assessed depression before cancer diagnosis as well as in studies that assessed depression following cancer diagnosis. Associations between depression and mortality persisted after controlling for confounding medical variables. The depression–mortality association was weaker in studies that had longer intervals between assessments of depression and mortality, in younger samples and in studies that used the Beck Depression Inventory as compared with other depression scales.ConclusionsScreening for depression should be routinely conducted in the cancer treatment setting. Referrals to mental health specialists should be considered. Research is needed on whether the treatment of depression could, beyond enhancing quality of life, extend survival of depressed cancer patients.","author":[{"dropping-particle":"","family":"Pinquart","given":"M","non-dropping-particle":"","parse-names":false,"suffix":""},{"dropping-particle":"","family":"Duberstein","given":"P R","non-dropping-particle":"","parse-names":false,"suffix":""}],"container-title":"Psychological Medicine","edition":"2010/01/20","id":"ITEM-1","issue":"11","issued":{"date-parts":[["2010"]]},"page":"1797-1810","publisher":"Cambridge University Press","title":"Depression and cancer mortality: a meta-analysis","type":"article-journal","volume":"40"},"uris":["http://www.mendeley.com/documents/?uuid=b4a9780d-0867-493a-a0cf-cb3b78e597fb"]}],"mendeley":{"formattedCitation":"(Pinquart and Duberstein, 2010)","plainTextFormattedCitation":"(Pinquart and Duberstein, 2010)","previouslyFormattedCitation":"(Pinquart and Duberstein, 2010)"},"properties":{"noteIndex":0},"schema":"https://github.com/citation-style-language/schema/raw/master/csl-citation.json"}</w:instrText>
      </w:r>
      <w:r w:rsidR="006C5766" w:rsidRPr="003C6A66">
        <w:rPr>
          <w:bCs/>
          <w:lang w:val="en-GB"/>
        </w:rPr>
        <w:fldChar w:fldCharType="separate"/>
      </w:r>
      <w:r w:rsidR="006C5766" w:rsidRPr="00D10DDE">
        <w:rPr>
          <w:bCs/>
          <w:noProof/>
          <w:lang w:val="en-GB"/>
        </w:rPr>
        <w:t>(Pinquart and Duberstein, 2010)</w:t>
      </w:r>
      <w:r w:rsidR="006C5766" w:rsidRPr="003C6A66">
        <w:rPr>
          <w:bCs/>
          <w:lang w:val="en-GB"/>
        </w:rPr>
        <w:fldChar w:fldCharType="end"/>
      </w:r>
      <w:r w:rsidR="006C5766" w:rsidRPr="003C6A66">
        <w:rPr>
          <w:bCs/>
          <w:lang w:val="en-GB"/>
        </w:rPr>
        <w:t>.</w:t>
      </w:r>
    </w:p>
    <w:p w14:paraId="76D50C76" w14:textId="3527626D" w:rsidR="00524FF7" w:rsidRDefault="00D442AE" w:rsidP="009F7B13">
      <w:pPr>
        <w:spacing w:line="276" w:lineRule="auto"/>
        <w:jc w:val="both"/>
        <w:rPr>
          <w:bCs/>
          <w:lang w:val="en-GB"/>
        </w:rPr>
      </w:pPr>
      <w:r>
        <w:rPr>
          <w:bCs/>
          <w:lang w:val="en-GB"/>
        </w:rPr>
        <w:t>S</w:t>
      </w:r>
      <w:r w:rsidR="008F59FC" w:rsidRPr="003C6A66">
        <w:rPr>
          <w:bCs/>
          <w:lang w:val="en-GB"/>
        </w:rPr>
        <w:t xml:space="preserve">tudies focusing on the effect of green spaces on cancer </w:t>
      </w:r>
      <w:r w:rsidR="00FA7DD4">
        <w:rPr>
          <w:bCs/>
          <w:lang w:val="en-GB"/>
        </w:rPr>
        <w:t xml:space="preserve">mortality </w:t>
      </w:r>
      <w:r w:rsidR="007F6E3C" w:rsidRPr="003C6A66">
        <w:rPr>
          <w:bCs/>
          <w:lang w:val="en-GB"/>
        </w:rPr>
        <w:t>are</w:t>
      </w:r>
      <w:r w:rsidR="008F59FC" w:rsidRPr="003C6A66">
        <w:rPr>
          <w:bCs/>
          <w:lang w:val="en-GB"/>
        </w:rPr>
        <w:t xml:space="preserve"> scarce. </w:t>
      </w:r>
      <w:r w:rsidR="008C1339" w:rsidRPr="003C6A66">
        <w:rPr>
          <w:bCs/>
          <w:lang w:val="en-GB"/>
        </w:rPr>
        <w:t xml:space="preserve">Most studies </w:t>
      </w:r>
      <w:r w:rsidR="00CF1436" w:rsidRPr="003C6A66">
        <w:rPr>
          <w:bCs/>
          <w:lang w:val="en-GB"/>
        </w:rPr>
        <w:t xml:space="preserve">were cross-sectional and </w:t>
      </w:r>
      <w:r w:rsidR="00AA680A" w:rsidRPr="003C6A66">
        <w:rPr>
          <w:bCs/>
          <w:lang w:val="en-GB"/>
        </w:rPr>
        <w:t xml:space="preserve">focused on lung cancer </w:t>
      </w:r>
      <w:r w:rsidR="0009572A" w:rsidRPr="003C6A66">
        <w:rPr>
          <w:bCs/>
          <w:lang w:val="en-GB"/>
        </w:rPr>
        <w:t xml:space="preserve">mortality, </w:t>
      </w:r>
      <w:r w:rsidR="00EA3D68">
        <w:rPr>
          <w:bCs/>
          <w:lang w:val="en-GB"/>
        </w:rPr>
        <w:t>for which</w:t>
      </w:r>
      <w:r w:rsidR="00AC4270" w:rsidRPr="003C6A66">
        <w:rPr>
          <w:bCs/>
          <w:lang w:val="en-GB"/>
        </w:rPr>
        <w:t xml:space="preserve"> a meta-analysis </w:t>
      </w:r>
      <w:r w:rsidR="00755F2B">
        <w:rPr>
          <w:bCs/>
          <w:lang w:val="en-GB"/>
        </w:rPr>
        <w:t>found</w:t>
      </w:r>
      <w:r w:rsidR="00AC4270" w:rsidRPr="003C6A66">
        <w:rPr>
          <w:bCs/>
          <w:lang w:val="en-GB"/>
        </w:rPr>
        <w:t xml:space="preserve"> no</w:t>
      </w:r>
      <w:r w:rsidR="0009572A" w:rsidRPr="003C6A66">
        <w:rPr>
          <w:bCs/>
          <w:lang w:val="en-GB"/>
        </w:rPr>
        <w:t xml:space="preserve"> association</w:t>
      </w:r>
      <w:r w:rsidR="00925964" w:rsidRPr="003C6A66">
        <w:rPr>
          <w:bCs/>
          <w:lang w:val="en-GB"/>
        </w:rPr>
        <w:t xml:space="preserve"> </w:t>
      </w:r>
      <w:r w:rsidR="004669E4" w:rsidRPr="003C6A66">
        <w:rPr>
          <w:bCs/>
          <w:lang w:val="en-GB"/>
        </w:rPr>
        <w:fldChar w:fldCharType="begin" w:fldLock="1"/>
      </w:r>
      <w:r w:rsidR="00525CEF">
        <w:rPr>
          <w:bCs/>
          <w:lang w:val="en-GB"/>
        </w:rPr>
        <w:instrText>ADDIN CSL_CITATION {"citationItems":[{"id":"ITEM-1","itemData":{"DOI":"10.1016/j.envint.2015.10.013","ISSN":"0160-4120","author":[{"dropping-particle":"","family":"Gascon","given":"Mireia","non-dropping-particle":"","parse-names":false,"suffix":""},{"dropping-particle":"","family":"Triguero-Mas","given":"Margarita","non-dropping-particle":"","parse-names":false,"suffix":""},{"dropping-particle":"","family":"Martínez","given":"David","non-dropping-particle":"","parse-names":false,"suffix":""},{"dropping-particle":"","family":"Dadvand","given":"Payam","non-dropping-particle":"","parse-names":false,"suffix":""},{"dropping-particle":"","family":"Rojas-Rueda","given":"David","non-dropping-particle":"","parse-names":false,"suffix":""},{"dropping-particle":"","family":"Plasència","given":"Antoni","non-dropping-particle":"","parse-names":false,"suffix":""},{"dropping-particle":"","family":"Nieuwenhuijsen","given":"Mark J.","non-dropping-particle":"","parse-names":false,"suffix":""}],"container-title":"Environment International","id":"ITEM-1","issued":{"date-parts":[["2016"]]},"page":"60-67","publisher":"Elsevier Ltd","title":"Residential green spaces and mortality : A systematic review","type":"article-journal","volume":"86"},"uris":["http://www.mendeley.com/documents/?uuid=af4fb1be-9d71-4f39-b754-bbcf3d0bd46d"]}],"mendeley":{"formattedCitation":"(Gascon et al., 2016)","plainTextFormattedCitation":"(Gascon et al., 2016)","previouslyFormattedCitation":"(Gascon et al., 2016)"},"properties":{"noteIndex":0},"schema":"https://github.com/citation-style-language/schema/raw/master/csl-citation.json"}</w:instrText>
      </w:r>
      <w:r w:rsidR="004669E4" w:rsidRPr="003C6A66">
        <w:rPr>
          <w:bCs/>
          <w:lang w:val="en-GB"/>
        </w:rPr>
        <w:fldChar w:fldCharType="separate"/>
      </w:r>
      <w:r w:rsidR="00D10DDE" w:rsidRPr="00D10DDE">
        <w:rPr>
          <w:bCs/>
          <w:noProof/>
          <w:lang w:val="en-GB"/>
        </w:rPr>
        <w:t>(Gascon et al., 2016)</w:t>
      </w:r>
      <w:r w:rsidR="004669E4" w:rsidRPr="003C6A66">
        <w:rPr>
          <w:bCs/>
          <w:lang w:val="en-GB"/>
        </w:rPr>
        <w:fldChar w:fldCharType="end"/>
      </w:r>
      <w:r w:rsidR="000E137E" w:rsidRPr="003C6A66">
        <w:rPr>
          <w:bCs/>
          <w:lang w:val="en-GB"/>
        </w:rPr>
        <w:t>.</w:t>
      </w:r>
      <w:r w:rsidR="00257B6C" w:rsidRPr="003C6A66">
        <w:rPr>
          <w:bCs/>
          <w:lang w:val="en-GB"/>
        </w:rPr>
        <w:t xml:space="preserve"> </w:t>
      </w:r>
      <w:r w:rsidR="00A341CD">
        <w:rPr>
          <w:bCs/>
          <w:lang w:val="en-GB"/>
        </w:rPr>
        <w:t>Two</w:t>
      </w:r>
      <w:r w:rsidR="00FE60FC">
        <w:rPr>
          <w:bCs/>
          <w:lang w:val="en-GB"/>
        </w:rPr>
        <w:t xml:space="preserve"> </w:t>
      </w:r>
      <w:r w:rsidR="00CF3F97">
        <w:rPr>
          <w:bCs/>
          <w:lang w:val="en-GB"/>
        </w:rPr>
        <w:t xml:space="preserve">recent </w:t>
      </w:r>
      <w:r w:rsidR="00FE60FC">
        <w:rPr>
          <w:bCs/>
          <w:lang w:val="en-GB"/>
        </w:rPr>
        <w:t>individual longitudinal</w:t>
      </w:r>
      <w:r w:rsidR="0003446F">
        <w:rPr>
          <w:bCs/>
          <w:lang w:val="en-GB"/>
        </w:rPr>
        <w:t xml:space="preserve"> stud</w:t>
      </w:r>
      <w:r w:rsidR="00026229">
        <w:rPr>
          <w:bCs/>
          <w:lang w:val="en-GB"/>
        </w:rPr>
        <w:t>ies</w:t>
      </w:r>
      <w:r w:rsidR="00FE60FC">
        <w:rPr>
          <w:bCs/>
          <w:lang w:val="en-GB"/>
        </w:rPr>
        <w:t xml:space="preserve"> </w:t>
      </w:r>
      <w:r w:rsidR="00026229">
        <w:rPr>
          <w:bCs/>
          <w:lang w:val="en-GB"/>
        </w:rPr>
        <w:t xml:space="preserve">showed </w:t>
      </w:r>
      <w:r w:rsidR="00A824AB">
        <w:rPr>
          <w:bCs/>
          <w:lang w:val="en-GB"/>
        </w:rPr>
        <w:t>contradictory findings in the associations</w:t>
      </w:r>
      <w:r w:rsidR="007F468D">
        <w:rPr>
          <w:bCs/>
          <w:lang w:val="en-GB"/>
        </w:rPr>
        <w:t xml:space="preserve"> </w:t>
      </w:r>
      <w:r w:rsidR="00CF3F97">
        <w:rPr>
          <w:bCs/>
          <w:lang w:val="en-GB"/>
        </w:rPr>
        <w:t>with</w:t>
      </w:r>
      <w:r w:rsidR="00A824AB">
        <w:rPr>
          <w:bCs/>
          <w:lang w:val="en-GB"/>
        </w:rPr>
        <w:t xml:space="preserve"> </w:t>
      </w:r>
      <w:r w:rsidR="0003446F">
        <w:rPr>
          <w:bCs/>
          <w:lang w:val="en-GB"/>
        </w:rPr>
        <w:t xml:space="preserve">lung cancer mortality </w:t>
      </w:r>
      <w:r w:rsidR="0003446F">
        <w:rPr>
          <w:bCs/>
          <w:lang w:val="en-GB"/>
        </w:rPr>
        <w:fldChar w:fldCharType="begin" w:fldLock="1"/>
      </w:r>
      <w:r w:rsidR="00D371BD">
        <w:rPr>
          <w:bCs/>
          <w:lang w:val="en-GB"/>
        </w:rPr>
        <w:instrText>ADDIN CSL_CITATION {"citationItems":[{"id":"ITEM-1","itemData":{"DOI":"https://doi.org/10.1016/j.envint.2019.105341","ISSN":"0160-4120","abstract":"Background Most previous studies that investigated associations of surrounding green, air pollution or traffic noise with mortality focused on single exposures. Objectives The aim of this study was to evaluate combined associations of long-term residential exposure to surrounding green, air pollution and traffic noise with total non-accidental and cause-specific mortality. Methods We linked a national health survey (Public Health Monitor, PHM) conducted in 2012 to the Dutch longitudinal mortality database. Subjects of the survey who were 30 years or older on 1 January 2013 (n = 339,633) were followed from 1 January 2013 till 31 December 2017. We used Cox proportional hazard models to evaluate associations of residential surrounding green (including the average Normalized Difference Vegetation Index (NDVI) in buffers of 300 m and 1000 m), annual average air pollutant concentrations (including particulate matter (PM10, PM2.5), nitrogen dioxide (NO2)) and traffic noise with non-accidental, circulatory disease, respiratory disease, lung cancer and neurodegenerative disease mortality. Results We observed 26,886 non-accidental deaths over 1.627.365 person-years of follow-up. Surrounding green, air pollution and traffic noise exposure were not significantly associated with non-accidental or cause-specific mortality. For non-accidental mortality, we found a hazard ratio (HR) of 0.99 (0.98, 1.01) per IQR increase in NDVI 300 m, a HR of 0.99 (95% CI: 0.97, 1.01) per IQR increase in NO2, a HR of 0.98 (0.97, 1.00) per IQR increase in PM2.5 and a HR of 0.99 (95% CI: 0.97, 1.01) per IQR increase in road-traffic noise. Analyses restricted to non-movers or excluding subjects aged 85+ years did not change the findings. Conclusion We found no evidence for associations of long-term residential exposures to surrounding green, air pollution and traffic noise with non-accidental or cause-specific mortality in a large population based survey in the Netherlands, possibly related to the relatively short follow-up period.","author":[{"dropping-particle":"","family":"Klompmaker","given":"Jochem O","non-dropping-particle":"","parse-names":false,"suffix":""},{"dropping-particle":"","family":"Hoek","given":"Gerard","non-dropping-particle":"","parse-names":false,"suffix":""},{"dropping-particle":"","family":"Bloemsma","given":"Lizan D","non-dropping-particle":"","parse-names":false,"suffix":""},{"dropping-particle":"","family":"Marra","given":"Marten","non-dropping-particle":"","parse-names":false,"suffix":""},{"dropping-particle":"","family":"Wijga","given":"Alet H","non-dropping-particle":"","parse-names":false,"suffix":""},{"dropping-particle":"","family":"Brink","given":"Carolien","non-dropping-particle":"van den","parse-names":false,"suffix":""},{"dropping-particle":"","family":"Brunekreef","given":"Bert","non-dropping-particle":"","parse-names":false,"suffix":""},{"dropping-particle":"","family":"Lebret","given":"Erik","non-dropping-particle":"","parse-names":false,"suffix":""},{"dropping-particle":"","family":"Gehring","given":"Ulrike","non-dropping-particle":"","parse-names":false,"suffix":""},{"dropping-particle":"","family":"Janssen","given":"Nicole A H","non-dropping-particle":"","parse-names":false,"suffix":""}],"container-title":"Environment International","id":"ITEM-1","issued":{"date-parts":[["2020"]]},"page":"105341","title":"Surrounding green, air pollution, traffic noise exposure and non-accidental and cause-specific mortality","type":"article-journal","volume":"134"},"uris":["http://www.mendeley.com/documents/?uuid=945f8fad-4afc-4fe9-837f-2bdd8f0b0ce0"]},{"id":"ITEM-2","itemData":{"DOI":"10.1186/s12940-021-00769-0","ISSN":"1476-069X","abstract":"Everyday people are exposed to multiple environmental factors, such as surrounding green, air pollution and traffic noise. These exposures are generally spatially correlated. Hence, when estimating associations of surrounding green, air pollution or traffic noise with health outcomes, the other exposures should be taken into account. The aim of this study was to evaluate associations of long-term residential exposure to surrounding green, air pollution and traffic noise with mortality.","author":[{"dropping-particle":"","family":"Klompmaker","given":"Jochem O","non-dropping-particle":"","parse-names":false,"suffix":""},{"dropping-particle":"","family":"Janssen","given":"Nicole A H","non-dropping-particle":"","parse-names":false,"suffix":""},{"dropping-particle":"","family":"Bloemsma","given":"Lizan D","non-dropping-particle":"","parse-names":false,"suffix":""},{"dropping-particle":"","family":"Marra","given":"Marten","non-dropping-particle":"","parse-names":false,"suffix":""},{"dropping-particle":"","family":"Lebret","given":"Erik","non-dropping-particle":"","parse-names":false,"suffix":""},{"dropping-particle":"","family":"Gehring","given":"Ulrike","non-dropping-particle":"","parse-names":false,"suffix":""},{"dropping-particle":"","family":"Hoek","given":"Gerard","non-dropping-particle":"","parse-names":false,"suffix":""}],"container-title":"Environmental Health","id":"ITEM-2","issue":"1","issued":{"date-parts":[["2021"]]},"page":"82","title":"Effects of exposure to surrounding green, air pollution and traffic noise with non-accidental and cause-specific mortality in the Dutch national cohort","type":"article-journal","volume":"20"},"uris":["http://www.mendeley.com/documents/?uuid=19e43259-86d0-48de-b4c3-b13fad25df26"]}],"mendeley":{"formattedCitation":"(Klompmaker et al., 2021, 2020)","plainTextFormattedCitation":"(Klompmaker et al., 2021, 2020)","previouslyFormattedCitation":"(Klompmaker et al., 2021, 2020)"},"properties":{"noteIndex":0},"schema":"https://github.com/citation-style-language/schema/raw/master/csl-citation.json"}</w:instrText>
      </w:r>
      <w:r w:rsidR="0003446F">
        <w:rPr>
          <w:bCs/>
          <w:lang w:val="en-GB"/>
        </w:rPr>
        <w:fldChar w:fldCharType="separate"/>
      </w:r>
      <w:r w:rsidR="00A341CD" w:rsidRPr="00A341CD">
        <w:rPr>
          <w:bCs/>
          <w:noProof/>
          <w:lang w:val="en-GB"/>
        </w:rPr>
        <w:t>(Klompmaker et al., 2021, 2020)</w:t>
      </w:r>
      <w:r w:rsidR="0003446F">
        <w:rPr>
          <w:bCs/>
          <w:lang w:val="en-GB"/>
        </w:rPr>
        <w:fldChar w:fldCharType="end"/>
      </w:r>
      <w:r w:rsidR="00123B29">
        <w:rPr>
          <w:bCs/>
          <w:lang w:val="en-GB"/>
        </w:rPr>
        <w:t>.</w:t>
      </w:r>
      <w:r w:rsidR="00383178">
        <w:rPr>
          <w:bCs/>
          <w:lang w:val="en-GB"/>
        </w:rPr>
        <w:t xml:space="preserve"> In contrast,</w:t>
      </w:r>
      <w:r w:rsidR="0003446F">
        <w:rPr>
          <w:bCs/>
          <w:lang w:val="en-GB"/>
        </w:rPr>
        <w:t xml:space="preserve"> </w:t>
      </w:r>
      <w:r w:rsidR="00383178">
        <w:rPr>
          <w:bCs/>
          <w:lang w:val="en-GB"/>
        </w:rPr>
        <w:t>o</w:t>
      </w:r>
      <w:r w:rsidR="00336E15">
        <w:rPr>
          <w:bCs/>
          <w:lang w:val="en-GB"/>
        </w:rPr>
        <w:t>ne</w:t>
      </w:r>
      <w:r w:rsidR="00BB2EC3" w:rsidRPr="003C6A66">
        <w:rPr>
          <w:bCs/>
          <w:lang w:val="en-GB"/>
        </w:rPr>
        <w:t xml:space="preserve"> </w:t>
      </w:r>
      <w:r w:rsidR="004A3DFA" w:rsidRPr="003C6A66">
        <w:rPr>
          <w:bCs/>
          <w:lang w:val="en-GB"/>
        </w:rPr>
        <w:t>longitudinal</w:t>
      </w:r>
      <w:r w:rsidR="00A65CC1" w:rsidRPr="003C6A66">
        <w:rPr>
          <w:bCs/>
          <w:lang w:val="en-GB"/>
        </w:rPr>
        <w:t xml:space="preserve"> </w:t>
      </w:r>
      <w:r w:rsidR="00FE60FC">
        <w:rPr>
          <w:bCs/>
          <w:lang w:val="en-GB"/>
        </w:rPr>
        <w:t>study</w:t>
      </w:r>
      <w:r w:rsidR="00FE60FC" w:rsidRPr="003C6A66">
        <w:rPr>
          <w:bCs/>
          <w:lang w:val="en-GB"/>
        </w:rPr>
        <w:t xml:space="preserve"> </w:t>
      </w:r>
      <w:r w:rsidR="00116E15" w:rsidRPr="003C6A66">
        <w:rPr>
          <w:bCs/>
          <w:lang w:val="en-GB"/>
        </w:rPr>
        <w:t>observed a</w:t>
      </w:r>
      <w:r w:rsidR="00336E15">
        <w:rPr>
          <w:bCs/>
          <w:lang w:val="en-GB"/>
        </w:rPr>
        <w:t xml:space="preserve"> strong</w:t>
      </w:r>
      <w:r w:rsidR="00116E15" w:rsidRPr="003C6A66">
        <w:rPr>
          <w:bCs/>
          <w:lang w:val="en-GB"/>
        </w:rPr>
        <w:t xml:space="preserve"> </w:t>
      </w:r>
      <w:r w:rsidR="00116E15" w:rsidRPr="00D46BC2">
        <w:rPr>
          <w:bCs/>
          <w:lang w:val="en-GB"/>
        </w:rPr>
        <w:t xml:space="preserve">reduction </w:t>
      </w:r>
      <w:r w:rsidR="00C555E6" w:rsidRPr="00D46BC2">
        <w:rPr>
          <w:bCs/>
          <w:lang w:val="en-GB"/>
        </w:rPr>
        <w:t>in</w:t>
      </w:r>
      <w:r w:rsidR="00116E15" w:rsidRPr="00D46BC2">
        <w:rPr>
          <w:bCs/>
          <w:lang w:val="en-GB"/>
        </w:rPr>
        <w:t xml:space="preserve"> </w:t>
      </w:r>
      <w:r w:rsidR="00336E15" w:rsidRPr="00D46BC2">
        <w:rPr>
          <w:bCs/>
          <w:lang w:val="en-GB"/>
        </w:rPr>
        <w:t>all</w:t>
      </w:r>
      <w:r w:rsidR="00336E15">
        <w:rPr>
          <w:bCs/>
          <w:lang w:val="en-GB"/>
        </w:rPr>
        <w:t>-</w:t>
      </w:r>
      <w:r w:rsidR="00336E15" w:rsidRPr="00D46BC2">
        <w:rPr>
          <w:bCs/>
          <w:lang w:val="en-GB"/>
        </w:rPr>
        <w:t xml:space="preserve">cancer </w:t>
      </w:r>
      <w:r w:rsidR="002A7EE3" w:rsidRPr="00D46BC2">
        <w:rPr>
          <w:bCs/>
          <w:lang w:val="en-GB"/>
        </w:rPr>
        <w:t>mortality</w:t>
      </w:r>
      <w:r w:rsidR="00D7672F" w:rsidRPr="00D46BC2">
        <w:rPr>
          <w:bCs/>
          <w:lang w:val="en-GB"/>
        </w:rPr>
        <w:t xml:space="preserve"> </w:t>
      </w:r>
      <w:r w:rsidR="000B10FD">
        <w:rPr>
          <w:bCs/>
          <w:lang w:val="en-GB"/>
        </w:rPr>
        <w:t xml:space="preserve">risk </w:t>
      </w:r>
      <w:r w:rsidR="002A7EE3" w:rsidRPr="00D46BC2">
        <w:rPr>
          <w:bCs/>
          <w:lang w:val="en-GB"/>
        </w:rPr>
        <w:t>with</w:t>
      </w:r>
      <w:r w:rsidR="00D7672F" w:rsidRPr="003C6A66">
        <w:rPr>
          <w:bCs/>
          <w:lang w:val="en-GB"/>
        </w:rPr>
        <w:t xml:space="preserve"> </w:t>
      </w:r>
      <w:r w:rsidR="00842638" w:rsidRPr="003C6A66">
        <w:rPr>
          <w:bCs/>
          <w:lang w:val="en-GB"/>
        </w:rPr>
        <w:t>increas</w:t>
      </w:r>
      <w:r w:rsidR="002A7EE3" w:rsidRPr="003C6A66">
        <w:rPr>
          <w:bCs/>
          <w:lang w:val="en-GB"/>
        </w:rPr>
        <w:t>ed</w:t>
      </w:r>
      <w:r w:rsidR="00842638" w:rsidRPr="003C6A66">
        <w:rPr>
          <w:bCs/>
          <w:lang w:val="en-GB"/>
        </w:rPr>
        <w:t xml:space="preserve"> exposure to</w:t>
      </w:r>
      <w:r w:rsidR="00D7672F" w:rsidRPr="003C6A66">
        <w:rPr>
          <w:bCs/>
          <w:lang w:val="en-GB"/>
        </w:rPr>
        <w:t xml:space="preserve"> green</w:t>
      </w:r>
      <w:r w:rsidR="00116E15" w:rsidRPr="003C6A66">
        <w:rPr>
          <w:bCs/>
          <w:lang w:val="en-GB"/>
        </w:rPr>
        <w:t xml:space="preserve"> spaces in a cohort of female nurses</w:t>
      </w:r>
      <w:r w:rsidR="004A3DFA" w:rsidRPr="003C6A66">
        <w:rPr>
          <w:bCs/>
          <w:lang w:val="en-GB"/>
        </w:rPr>
        <w:t xml:space="preserve"> </w:t>
      </w:r>
      <w:r w:rsidR="00D7672F" w:rsidRPr="003C6A66">
        <w:rPr>
          <w:bCs/>
          <w:lang w:val="en-GB"/>
        </w:rPr>
        <w:fldChar w:fldCharType="begin" w:fldLock="1"/>
      </w:r>
      <w:r w:rsidR="00525CEF">
        <w:rPr>
          <w:bCs/>
          <w:lang w:val="en-GB"/>
        </w:rPr>
        <w:instrText>ADDIN CSL_CITATION {"citationItems":[{"id":"ITEM-1","itemData":{"DOI":"https://doi.org/10.1289/ehp.1510363","author":[{"dropping-particle":"","family":"James","given":"Peter","non-dropping-particle":"","parse-names":false,"suffix":""},{"dropping-particle":"","family":"Hart","given":"Jaime E","non-dropping-particle":"","parse-names":false,"suffix":""},{"dropping-particle":"","family":"Banay","given":"Rachel F","non-dropping-particle":"","parse-names":false,"suffix":""},{"dropping-particle":"","family":"Laden","given":"Francine","non-dropping-particle":"","parse-names":false,"suffix":""}],"container-title":"Environmental Health Perspectives","id":"ITEM-1","issue":"9","issued":{"date-parts":[["2016"]]},"page":"1344-1352","title":"Exposure to Greenness and Mortality in a Nationwide Prospective Cohort Study of Women","type":"article-journal","volume":"124"},"uris":["http://www.mendeley.com/documents/?uuid=3cd33a22-8a2e-4fcb-be74-437806fb9a42"]}],"mendeley":{"formattedCitation":"(James et al., 2016)","plainTextFormattedCitation":"(James et al., 2016)","previouslyFormattedCitation":"(James et al., 2016)"},"properties":{"noteIndex":0},"schema":"https://github.com/citation-style-language/schema/raw/master/csl-citation.json"}</w:instrText>
      </w:r>
      <w:r w:rsidR="00D7672F" w:rsidRPr="003C6A66">
        <w:rPr>
          <w:bCs/>
          <w:lang w:val="en-GB"/>
        </w:rPr>
        <w:fldChar w:fldCharType="separate"/>
      </w:r>
      <w:r w:rsidR="00D10DDE" w:rsidRPr="00D10DDE">
        <w:rPr>
          <w:bCs/>
          <w:noProof/>
          <w:lang w:val="en-GB"/>
        </w:rPr>
        <w:t>(James et al., 2016)</w:t>
      </w:r>
      <w:r w:rsidR="00D7672F" w:rsidRPr="003C6A66">
        <w:rPr>
          <w:bCs/>
          <w:lang w:val="en-GB"/>
        </w:rPr>
        <w:fldChar w:fldCharType="end"/>
      </w:r>
      <w:r w:rsidR="00A824AB">
        <w:rPr>
          <w:bCs/>
          <w:lang w:val="en-GB"/>
        </w:rPr>
        <w:t>.</w:t>
      </w:r>
    </w:p>
    <w:p w14:paraId="44DF87FA" w14:textId="6829F811" w:rsidR="00620417" w:rsidRPr="00ED243E" w:rsidRDefault="00524FF7" w:rsidP="009F7B13">
      <w:pPr>
        <w:spacing w:line="276" w:lineRule="auto"/>
        <w:jc w:val="both"/>
        <w:rPr>
          <w:bCs/>
          <w:color w:val="FF0000"/>
          <w:lang w:val="en-GB"/>
        </w:rPr>
      </w:pPr>
      <w:r>
        <w:rPr>
          <w:bCs/>
          <w:lang w:val="en-GB"/>
        </w:rPr>
        <w:t xml:space="preserve">The effect of green spaces on health </w:t>
      </w:r>
      <w:r w:rsidR="00FA7340">
        <w:rPr>
          <w:bCs/>
          <w:lang w:val="en-GB"/>
        </w:rPr>
        <w:t xml:space="preserve">could be </w:t>
      </w:r>
      <w:r w:rsidR="005D5BDE">
        <w:rPr>
          <w:bCs/>
          <w:lang w:val="en-GB"/>
        </w:rPr>
        <w:t xml:space="preserve">influenced </w:t>
      </w:r>
      <w:r w:rsidR="00FA7340">
        <w:rPr>
          <w:bCs/>
          <w:lang w:val="en-GB"/>
        </w:rPr>
        <w:t xml:space="preserve">by sociodemographic and socioeconomic characteristics, since </w:t>
      </w:r>
      <w:r w:rsidR="00DC736E">
        <w:rPr>
          <w:bCs/>
          <w:lang w:val="en-GB"/>
        </w:rPr>
        <w:t>they likely determine the exposure and susceptibility of individuals to the environment</w:t>
      </w:r>
      <w:r w:rsidR="00D371BD">
        <w:rPr>
          <w:bCs/>
          <w:lang w:val="en-GB"/>
        </w:rPr>
        <w:t xml:space="preserve"> </w:t>
      </w:r>
      <w:r w:rsidR="00D371BD">
        <w:rPr>
          <w:bCs/>
          <w:lang w:val="en-GB"/>
        </w:rPr>
        <w:fldChar w:fldCharType="begin" w:fldLock="1"/>
      </w:r>
      <w:r w:rsidR="004E2F83">
        <w:rPr>
          <w:bCs/>
          <w:lang w:val="en-GB"/>
        </w:rPr>
        <w:instrText>ADDIN CSL_CITATION {"citationItems":[{"id":"ITEM-1","itemData":{"DOI":"10.2779/200217","ISBN":"9789279457340","author":[{"dropping-particle":"","family":"Science for Environment Policy","given":"","non-dropping-particle":"","parse-names":false,"suffix":""}],"id":"ITEM-1","issue":"In-depth Report 13 produced for the European Commission","issued":{"date-parts":[["2016"]]},"publisher-place":"Bristol","title":"Links between noise and air pollution and socioeconomic status","type":"report"},"uris":["http://www.mendeley.com/documents/?uuid=e2d0b985-fd17-4f34-997f-1554d26c9dc5"]}],"mendeley":{"formattedCitation":"(Science for Environment Policy, 2016)","plainTextFormattedCitation":"(Science for Environment Policy, 2016)","previouslyFormattedCitation":"(Science for Environment Policy, 2016)"},"properties":{"noteIndex":0},"schema":"https://github.com/citation-style-language/schema/raw/master/csl-citation.json"}</w:instrText>
      </w:r>
      <w:r w:rsidR="00D371BD">
        <w:rPr>
          <w:bCs/>
          <w:lang w:val="en-GB"/>
        </w:rPr>
        <w:fldChar w:fldCharType="separate"/>
      </w:r>
      <w:r w:rsidR="00D371BD" w:rsidRPr="00D371BD">
        <w:rPr>
          <w:bCs/>
          <w:noProof/>
          <w:lang w:val="en-GB"/>
        </w:rPr>
        <w:t>(Science for Environment Policy, 2016)</w:t>
      </w:r>
      <w:r w:rsidR="00D371BD">
        <w:rPr>
          <w:bCs/>
          <w:lang w:val="en-GB"/>
        </w:rPr>
        <w:fldChar w:fldCharType="end"/>
      </w:r>
      <w:r w:rsidR="00D371BD">
        <w:rPr>
          <w:bCs/>
          <w:lang w:val="en-GB"/>
        </w:rPr>
        <w:t>. Moreover, cancer risk is known to follow a social gradient across the population</w:t>
      </w:r>
      <w:r w:rsidR="001D11BA">
        <w:rPr>
          <w:bCs/>
          <w:lang w:val="en-GB"/>
        </w:rPr>
        <w:t xml:space="preserve"> </w:t>
      </w:r>
      <w:r w:rsidR="001D11BA">
        <w:rPr>
          <w:bCs/>
          <w:lang w:val="en-GB"/>
        </w:rPr>
        <w:fldChar w:fldCharType="begin" w:fldLock="1"/>
      </w:r>
      <w:r w:rsidR="00783F89">
        <w:rPr>
          <w:bCs/>
          <w:lang w:val="en-GB"/>
        </w:rPr>
        <w:instrText>ADDIN CSL_CITATION {"citationItems":[{"id":"ITEM-1","itemData":{"DOI":"10.3390/cancers13050933","ISBN":"2072-6694 ","abstract":"Background: Socio-economic position is associated with cancer incidence, but the direction and magnitude of this relationship differs across cancer types, geographical regions, and socio-economic parameters. In this nationwide cohort study, we evaluated the association between different individual-level socio-economic and -demographic factors, cancer incidence, and stage at diagnosis in Belgium. Methods: The 2001 census was linked to the nationwide Belgian Cancer Registry for cancer diagnoses between 2004 and 2013. Socio-economic parameters included education level, household composition, and housing conditions. Incidence rate ratios were assessed through Poisson regression models. Stage-specific analyses were conducted through logistic regression models. Results: Deprived groups showed higher risks for lung cancer and head and neck cancers, whereas an inverse relation was observed for malignant melanoma and female breast cancer. Typically, associations were more pronounced in men than in women. A lower socio-economic position was associated with reduced chances of being diagnosed with known or early stage at diagnosis; the strongest disparities were found for male lung cancer and female breast cancer. Conclusions: This study identified population groups at increased risk of cancer and unknown or advanced stage at diagnosis in Belgium. Further investigation is needed to build a comprehensive picture of socio-economic inequality in cancer incidence.","author":[{"dropping-particle":"","family":"Rosskamp","given":"Michael","non-dropping-particle":"","parse-names":false,"suffix":""},{"dropping-particle":"","family":"Verbeeck","given":"Julie","non-dropping-particle":"","parse-names":false,"suffix":""},{"dropping-particle":"","family":"Gadeyne","given":"Sylvie","non-dropping-particle":"","parse-names":false,"suffix":""},{"dropping-particle":"","family":"Verdoodt","given":"Freija","non-dropping-particle":"","parse-names":false,"suffix":""},{"dropping-particle":"","family":"Schutter","given":"Harlinde","non-dropping-particle":"De","parse-names":false,"suffix":""}],"container-title":"Cancers ","id":"ITEM-1","issue":"5","issued":{"date-parts":[["2021"]]},"title":"Socio-Economic Position, Cancer Incidence and Stage at Diagnosis: A Nationwide Cohort Study in Belgium","type":"article","volume":"13"},"uris":["http://www.mendeley.com/documents/?uuid=8f517e70-62a1-4526-a33f-e26dd281bfe6"]},{"id":"ITEM-2","itemData":{"DOI":"https://doi.org/10.1002/ijc.31031","ISSN":"0020-7136","abstract":"Our study explores the association between individual and neighborhood socioeconomic position (SEP) and all-cancer and site-specific cancer mortality. Data on all Belgian residents are retrieved from a population-based dataset constructed from the 2001 census linked to register data on emigration and mortality for 2001?2011. The study population contains all men and women aged 40 years or older during follow-up. Individual SEP is measured using education, employment status and housing conditions. Neighborhood SEP is measured by a deprivation index (in quintiles). Directly age-standardized mortality rates and multilevel Poisson models are used to estimate the association between individual SEP and neighborhood deprivation and mortality from all-cancer and cancer of the lung, colon and rectum, pancreas, prostate and female breast. The potential confounding role of population density is assessed using multilevel models as well. Our findings show an increase in mortality from all-cancer and site-specific cancer by decreasing level of individual SEP for both men and women. In addition, individuals living in highly deprived neighborhoods experience significantly higher mortality from all-cancer, lung cancer, pancreatic cancer and female colorectal cancer after controlling for individual SEP. Male colorectal and prostate cancer and female breast cancer are not associated with neighborhood deprivation. Population density acts as a confounder for female lung cancer only. Our study indicates that deprivation at both the individual and neighborhood level is associated with all-cancer mortality and mortality from several cancer sites. More research into the role of life-style related and clinical factors is necessary to gain more insight into causal pathway.","author":[{"dropping-particle":"","family":"Hagedoorn","given":"Paulien","non-dropping-particle":"","parse-names":false,"suffix":""},{"dropping-particle":"","family":"Vandenheede","given":"Hadewijch","non-dropping-particle":"","parse-names":false,"suffix":""},{"dropping-particle":"","family":"Vanthomme","given":"Katrien","non-dropping-particle":"","parse-names":false,"suffix":""},{"dropping-particle":"","family":"Gadeyne","given":"Sylvie","non-dropping-particle":"","parse-names":false,"suffix":""}],"container-title":"International Journal of Cancer","id":"ITEM-2","issue":"1","issued":{"date-parts":[["2018","1","1"]]},"note":"https://doi.org/10.1002/ijc.31031","page":"23-35","publisher":"John Wiley &amp; Sons, Ltd","title":"Socioeconomic position, population density and site-specific cancer mortality: A multilevel analysis of Belgian adults, 2001–2011","type":"article-journal","volume":"142"},"uris":["http://www.mendeley.com/documents/?uuid=1460890e-b81b-4ccb-bdf5-fa3cad7dfb82"]}],"mendeley":{"formattedCitation":"(Hagedoorn et al., 2018; Rosskamp et al., 2021)","plainTextFormattedCitation":"(Hagedoorn et al., 2018; Rosskamp et al., 2021)","previouslyFormattedCitation":"(Hagedoorn et al., 2018; Rosskamp et al., 2021)"},"properties":{"noteIndex":0},"schema":"https://github.com/citation-style-language/schema/raw/master/csl-citation.json"}</w:instrText>
      </w:r>
      <w:r w:rsidR="001D11BA">
        <w:rPr>
          <w:bCs/>
          <w:lang w:val="en-GB"/>
        </w:rPr>
        <w:fldChar w:fldCharType="separate"/>
      </w:r>
      <w:r w:rsidR="001D11BA" w:rsidRPr="001D11BA">
        <w:rPr>
          <w:bCs/>
          <w:noProof/>
          <w:lang w:val="en-GB"/>
        </w:rPr>
        <w:t>(Hagedoorn et al., 2018; Rosskamp et al., 2021)</w:t>
      </w:r>
      <w:r w:rsidR="001D11BA">
        <w:rPr>
          <w:bCs/>
          <w:lang w:val="en-GB"/>
        </w:rPr>
        <w:fldChar w:fldCharType="end"/>
      </w:r>
      <w:r w:rsidR="00DC736E">
        <w:rPr>
          <w:bCs/>
          <w:lang w:val="en-GB"/>
        </w:rPr>
        <w:t>.</w:t>
      </w:r>
      <w:r w:rsidR="00647A8C">
        <w:rPr>
          <w:bCs/>
          <w:lang w:val="en-GB"/>
        </w:rPr>
        <w:t xml:space="preserve"> Nevertheless, the evidence</w:t>
      </w:r>
      <w:r w:rsidR="00024BD4">
        <w:rPr>
          <w:bCs/>
          <w:lang w:val="en-GB"/>
        </w:rPr>
        <w:t xml:space="preserve"> on effect modification by social factors in the association between green spaces and cancer </w:t>
      </w:r>
      <w:r w:rsidR="004E2F83">
        <w:rPr>
          <w:bCs/>
          <w:lang w:val="en-GB"/>
        </w:rPr>
        <w:t xml:space="preserve">mortality </w:t>
      </w:r>
      <w:r w:rsidR="00024BD4">
        <w:rPr>
          <w:bCs/>
          <w:lang w:val="en-GB"/>
        </w:rPr>
        <w:t xml:space="preserve">is limited </w:t>
      </w:r>
      <w:r w:rsidR="004E2F83">
        <w:rPr>
          <w:bCs/>
          <w:lang w:val="en-GB"/>
        </w:rPr>
        <w:fldChar w:fldCharType="begin" w:fldLock="1"/>
      </w:r>
      <w:r w:rsidR="001D11BA">
        <w:rPr>
          <w:bCs/>
          <w:lang w:val="en-GB"/>
        </w:rPr>
        <w:instrText>ADDIN CSL_CITATION {"citationItems":[{"id":"ITEM-1","itemData":{"DOI":"https://doi.org/10.1289/ehp.1510363","author":[{"dropping-particle":"","family":"James","given":"Peter","non-dropping-particle":"","parse-names":false,"suffix":""},{"dropping-particle":"","family":"Hart","given":"Jaime E","non-dropping-particle":"","parse-names":false,"suffix":""},{"dropping-particle":"","family":"Banay","given":"Rachel F","non-dropping-particle":"","parse-names":false,"suffix":""},{"dropping-particle":"","family":"Laden","given":"Francine","non-dropping-particle":"","parse-names":false,"suffix":""}],"container-title":"Environmental Health Perspectives","id":"ITEM-1","issue":"9","issued":{"date-parts":[["2016"]]},"page":"1344-1352","title":"Exposure to Greenness and Mortality in a Nationwide Prospective Cohort Study of Women","type":"article-journal","volume":"124"},"uris":["http://www.mendeley.com/documents/?uuid=3cd33a22-8a2e-4fcb-be74-437806fb9a42"]}],"mendeley":{"formattedCitation":"(James et al., 2016)","plainTextFormattedCitation":"(James et al., 2016)","previouslyFormattedCitation":"(James et al., 2016)"},"properties":{"noteIndex":0},"schema":"https://github.com/citation-style-language/schema/raw/master/csl-citation.json"}</w:instrText>
      </w:r>
      <w:r w:rsidR="004E2F83">
        <w:rPr>
          <w:bCs/>
          <w:lang w:val="en-GB"/>
        </w:rPr>
        <w:fldChar w:fldCharType="separate"/>
      </w:r>
      <w:r w:rsidR="004E2F83" w:rsidRPr="004E2F83">
        <w:rPr>
          <w:bCs/>
          <w:noProof/>
          <w:lang w:val="en-GB"/>
        </w:rPr>
        <w:t>(James et al., 2016)</w:t>
      </w:r>
      <w:r w:rsidR="004E2F83">
        <w:rPr>
          <w:bCs/>
          <w:lang w:val="en-GB"/>
        </w:rPr>
        <w:fldChar w:fldCharType="end"/>
      </w:r>
      <w:r w:rsidR="00024BD4">
        <w:rPr>
          <w:bCs/>
          <w:lang w:val="en-GB"/>
        </w:rPr>
        <w:t>.</w:t>
      </w:r>
    </w:p>
    <w:p w14:paraId="373C4752" w14:textId="2188F878" w:rsidR="00810967" w:rsidRPr="0003550C" w:rsidRDefault="005B63E5" w:rsidP="009F7B13">
      <w:pPr>
        <w:spacing w:line="276" w:lineRule="auto"/>
        <w:jc w:val="both"/>
        <w:rPr>
          <w:bCs/>
          <w:lang w:val="en-US"/>
        </w:rPr>
      </w:pPr>
      <w:r w:rsidRPr="003C6A66">
        <w:rPr>
          <w:bCs/>
          <w:lang w:val="en-GB"/>
        </w:rPr>
        <w:t>Finally</w:t>
      </w:r>
      <w:r w:rsidR="00F53CCD" w:rsidRPr="003C6A66">
        <w:rPr>
          <w:bCs/>
          <w:lang w:val="en-GB"/>
        </w:rPr>
        <w:t>,</w:t>
      </w:r>
      <w:r w:rsidR="002D3961">
        <w:rPr>
          <w:bCs/>
          <w:lang w:val="en-GB"/>
        </w:rPr>
        <w:t xml:space="preserve"> despite air pollution</w:t>
      </w:r>
      <w:r w:rsidR="0052078D">
        <w:rPr>
          <w:bCs/>
          <w:lang w:val="en-GB"/>
        </w:rPr>
        <w:t xml:space="preserve"> being carcinogenic</w:t>
      </w:r>
      <w:r w:rsidR="002D3961">
        <w:rPr>
          <w:bCs/>
          <w:lang w:val="en-GB"/>
        </w:rPr>
        <w:t xml:space="preserve"> </w:t>
      </w:r>
      <w:r w:rsidR="0052078D">
        <w:rPr>
          <w:bCs/>
          <w:lang w:val="en-GB"/>
        </w:rPr>
        <w:fldChar w:fldCharType="begin" w:fldLock="1"/>
      </w:r>
      <w:r w:rsidR="004937E9">
        <w:rPr>
          <w:bCs/>
          <w:lang w:val="en-GB"/>
        </w:rPr>
        <w:instrText>ADDIN CSL_CITATION {"citationItems":[{"id":"ITEM-1","itemData":{"author":[{"dropping-particle":"","family":"International Agency for Research on Cancer (IARC)","given":"","non-dropping-particle":"","parse-names":false,"suffix":""}],"id":"ITEM-1","issued":{"date-parts":[["2013"]]},"publisher-place":"Lyon","title":"Outdoor Air Pollution. IARC Monographs on the Evaluation of Carcinogenic Risks to Humans; volume 109","type":"report"},"uris":["http://www.mendeley.com/documents/?uuid=7e193fc4-2b5d-4032-967c-26f545dfb8ab"]}],"mendeley":{"formattedCitation":"(International Agency for Research on Cancer (IARC), 2013)","manualFormatting":"(IARC, 2013)","plainTextFormattedCitation":"(International Agency for Research on Cancer (IARC), 2013)","previouslyFormattedCitation":"(International Agency for Research on Cancer (IARC), 2013)"},"properties":{"noteIndex":0},"schema":"https://github.com/citation-style-language/schema/raw/master/csl-citation.json"}</w:instrText>
      </w:r>
      <w:r w:rsidR="0052078D">
        <w:rPr>
          <w:bCs/>
          <w:lang w:val="en-GB"/>
        </w:rPr>
        <w:fldChar w:fldCharType="separate"/>
      </w:r>
      <w:r w:rsidR="0052078D" w:rsidRPr="0052078D">
        <w:rPr>
          <w:bCs/>
          <w:noProof/>
          <w:lang w:val="en-GB"/>
        </w:rPr>
        <w:t>(IARC, 2013)</w:t>
      </w:r>
      <w:r w:rsidR="0052078D">
        <w:rPr>
          <w:bCs/>
          <w:lang w:val="en-GB"/>
        </w:rPr>
        <w:fldChar w:fldCharType="end"/>
      </w:r>
      <w:r w:rsidR="0052078D">
        <w:rPr>
          <w:bCs/>
          <w:lang w:val="en-GB"/>
        </w:rPr>
        <w:t>,</w:t>
      </w:r>
      <w:r w:rsidR="003068A9" w:rsidRPr="003C6A66">
        <w:rPr>
          <w:bCs/>
          <w:lang w:val="en-GB"/>
        </w:rPr>
        <w:t xml:space="preserve"> </w:t>
      </w:r>
      <w:r w:rsidR="008352A9">
        <w:rPr>
          <w:bCs/>
          <w:lang w:val="en-GB"/>
        </w:rPr>
        <w:t>only two case-control</w:t>
      </w:r>
      <w:r w:rsidR="008352A9" w:rsidRPr="003C6A66">
        <w:rPr>
          <w:bCs/>
          <w:lang w:val="en-GB"/>
        </w:rPr>
        <w:t xml:space="preserve"> </w:t>
      </w:r>
      <w:r w:rsidR="003068A9" w:rsidRPr="003C6A66">
        <w:rPr>
          <w:bCs/>
          <w:lang w:val="en-GB"/>
        </w:rPr>
        <w:t>studies</w:t>
      </w:r>
      <w:r w:rsidR="004F2562" w:rsidRPr="003C6A66">
        <w:rPr>
          <w:bCs/>
          <w:lang w:val="en-GB"/>
        </w:rPr>
        <w:t xml:space="preserve"> evaluated </w:t>
      </w:r>
      <w:r w:rsidR="007E4FE5">
        <w:rPr>
          <w:bCs/>
          <w:lang w:val="en-GB"/>
        </w:rPr>
        <w:t>the role of</w:t>
      </w:r>
      <w:r w:rsidR="004F2562" w:rsidRPr="003C6A66">
        <w:rPr>
          <w:bCs/>
          <w:lang w:val="en-GB"/>
        </w:rPr>
        <w:t xml:space="preserve"> air pollution</w:t>
      </w:r>
      <w:r w:rsidR="00FC0DE4">
        <w:rPr>
          <w:bCs/>
          <w:lang w:val="en-GB"/>
        </w:rPr>
        <w:t xml:space="preserve"> mitigation</w:t>
      </w:r>
      <w:r w:rsidR="00834329">
        <w:rPr>
          <w:bCs/>
          <w:lang w:val="en-GB"/>
        </w:rPr>
        <w:t xml:space="preserve"> in the associations between </w:t>
      </w:r>
      <w:r w:rsidR="00834329" w:rsidRPr="003C6A66">
        <w:rPr>
          <w:bCs/>
          <w:lang w:val="en-GB"/>
        </w:rPr>
        <w:t>green spaces</w:t>
      </w:r>
      <w:r w:rsidR="00834329">
        <w:rPr>
          <w:bCs/>
          <w:lang w:val="en-GB"/>
        </w:rPr>
        <w:t xml:space="preserve"> and cancer</w:t>
      </w:r>
      <w:r w:rsidR="004F2562" w:rsidRPr="003C6A66">
        <w:rPr>
          <w:bCs/>
          <w:lang w:val="en-GB"/>
        </w:rPr>
        <w:t>,</w:t>
      </w:r>
      <w:r w:rsidR="00F53CCD" w:rsidRPr="003C6A66">
        <w:rPr>
          <w:bCs/>
          <w:lang w:val="en-GB"/>
        </w:rPr>
        <w:t xml:space="preserve"> </w:t>
      </w:r>
      <w:r w:rsidR="005E705D" w:rsidRPr="003C6A66">
        <w:rPr>
          <w:bCs/>
          <w:lang w:val="en-GB"/>
        </w:rPr>
        <w:t xml:space="preserve">and </w:t>
      </w:r>
      <w:r w:rsidR="00205EAA" w:rsidRPr="003C6A66">
        <w:rPr>
          <w:bCs/>
          <w:lang w:val="en-GB"/>
        </w:rPr>
        <w:t xml:space="preserve">findings were </w:t>
      </w:r>
      <w:r w:rsidR="002A4163" w:rsidRPr="003C6A66">
        <w:rPr>
          <w:bCs/>
          <w:lang w:val="en-GB"/>
        </w:rPr>
        <w:t xml:space="preserve">inconclusive </w:t>
      </w:r>
      <w:r w:rsidR="004D188B" w:rsidRPr="003C6A66">
        <w:rPr>
          <w:bCs/>
          <w:lang w:val="en-GB"/>
        </w:rPr>
        <w:fldChar w:fldCharType="begin" w:fldLock="1"/>
      </w:r>
      <w:r w:rsidR="00525CEF">
        <w:rPr>
          <w:bCs/>
          <w:lang w:val="en-GB"/>
        </w:rPr>
        <w:instrText>ADDIN CSL_CITATION {"citationItems":[{"id":"ITEM-1","itemData":{"DOI":"10.1016/j.envint.2016.10.024","ISSN":"0160-4120","author":[{"dropping-particle":"","family":"Demoury","given":"Claire","non-dropping-particle":"","parse-names":false,"suffix":""},{"dropping-particle":"","family":"Thierry","given":"Benoît","non-dropping-particle":"","parse-names":false,"suffix":""},{"dropping-particle":"","family":"Richard","given":"Hugues","non-dropping-particle":"","parse-names":false,"suffix":""},{"dropping-particle":"","family":"Sigler","given":"Brittany","non-dropping-particle":"","parse-names":false,"suffix":""},{"dropping-particle":"","family":"Kestens","given":"Yan","non-dropping-particle":"","parse-names":false,"suffix":""},{"dropping-particle":"","family":"Parent","given":"Marie-elise","non-dropping-particle":"","parse-names":false,"suffix":""}],"container-title":"Environment International","id":"ITEM-1","issued":{"date-parts":[["2017"]]},"page":"129-136","title":"Residential greenness and risk of prostate cancer : A case-control study in Montreal, Canada","type":"article-journal","volume":"98"},"uris":["http://www.mendeley.com/documents/?uuid=f3a385ce-2ed3-4904-b03e-169effabc27a"]},{"id":"ITEM-2","itemData":{"DOI":"10.1016/j.ijheh.2018.07.014","ISSN":"1438-4639","author":[{"dropping-particle":"","family":"O'Callaghan-Gordo","given":"Cristina","non-dropping-particle":"","parse-names":false,"suffix":""},{"dropping-particle":"","family":"Kogevinas","given":"Manolis","non-dropping-particle":"","parse-names":false,"suffix":""},{"dropping-particle":"","family":"Cirach","given":"Marta","non-dropping-particle":"","parse-names":false,"suffix":""},{"dropping-particle":"","family":"Vidan","given":"Juana","non-dropping-particle":"","parse-names":false,"suffix":""},{"dropping-particle":"","family":"José","given":"Antonio","non-dropping-particle":"","parse-names":false,"suffix":""},{"dropping-particle":"","family":"Oribe","given":"Madalen","non-dropping-particle":"","parse-names":false,"suffix":""},{"dropping-particle":"","family":"Gràcia-lavedan","given":"Esther","non-dropping-particle":"","parse-names":false,"suffix":""}],"container-title":"International Journal of Hygiene and Environmental Health","id":"ITEM-2","issue":"8","issued":{"date-parts":[["2018"]]},"page":"1097-1106","publisher":"Elsevier","title":"Residential proximity to green spaces and breast cancer risk : The multicase- control study in Spain ( MCC-Spain )","type":"article-journal","volume":"221"},"uris":["http://www.mendeley.com/documents/?uuid=debd2ff8-bfe5-483d-a8b0-853679f043a2"]}],"mendeley":{"formattedCitation":"(Demoury et al., 2017; O’Callaghan-Gordo et al., 2018)","plainTextFormattedCitation":"(Demoury et al., 2017; O’Callaghan-Gordo et al., 2018)","previouslyFormattedCitation":"(Demoury et al., 2017; O’Callaghan-Gordo et al., 2018)"},"properties":{"noteIndex":0},"schema":"https://github.com/citation-style-language/schema/raw/master/csl-citation.json"}</w:instrText>
      </w:r>
      <w:r w:rsidR="004D188B" w:rsidRPr="003C6A66">
        <w:rPr>
          <w:bCs/>
          <w:lang w:val="en-GB"/>
        </w:rPr>
        <w:fldChar w:fldCharType="separate"/>
      </w:r>
      <w:r w:rsidR="00D10DDE" w:rsidRPr="00D10DDE">
        <w:rPr>
          <w:bCs/>
          <w:noProof/>
          <w:lang w:val="en-US"/>
        </w:rPr>
        <w:t>(Demoury et al., 2017; O’Callaghan-Gordo et al., 2018)</w:t>
      </w:r>
      <w:r w:rsidR="004D188B" w:rsidRPr="003C6A66">
        <w:rPr>
          <w:bCs/>
          <w:lang w:val="en-GB"/>
        </w:rPr>
        <w:fldChar w:fldCharType="end"/>
      </w:r>
      <w:r w:rsidR="004D188B" w:rsidRPr="0003550C">
        <w:rPr>
          <w:bCs/>
          <w:lang w:val="en-US"/>
        </w:rPr>
        <w:t>.</w:t>
      </w:r>
    </w:p>
    <w:p w14:paraId="6E7A3879" w14:textId="1D4A1F01" w:rsidR="009A4117" w:rsidRPr="003C6A66" w:rsidRDefault="008352A9" w:rsidP="00801558">
      <w:pPr>
        <w:spacing w:line="276" w:lineRule="auto"/>
        <w:jc w:val="both"/>
        <w:rPr>
          <w:bCs/>
          <w:lang w:val="en-GB"/>
        </w:rPr>
      </w:pPr>
      <w:r>
        <w:rPr>
          <w:bCs/>
          <w:lang w:val="en-GB"/>
        </w:rPr>
        <w:t xml:space="preserve">We previously reported beneficial associations </w:t>
      </w:r>
      <w:r w:rsidR="00BA1BC5">
        <w:rPr>
          <w:bCs/>
          <w:lang w:val="en-GB"/>
        </w:rPr>
        <w:t>between green spaces and all-cause,</w:t>
      </w:r>
      <w:r w:rsidR="0078457F">
        <w:rPr>
          <w:bCs/>
          <w:lang w:val="en-GB"/>
        </w:rPr>
        <w:t xml:space="preserve"> </w:t>
      </w:r>
      <w:r w:rsidR="00C130BF">
        <w:rPr>
          <w:bCs/>
          <w:lang w:val="en-GB"/>
        </w:rPr>
        <w:t>cardiometabolic, and respiratory mortality</w:t>
      </w:r>
      <w:r w:rsidR="001D483B">
        <w:rPr>
          <w:bCs/>
          <w:lang w:val="en-GB"/>
        </w:rPr>
        <w:t xml:space="preserve"> in the five largest Belgian urban areas</w:t>
      </w:r>
      <w:r w:rsidR="00C130BF">
        <w:rPr>
          <w:bCs/>
          <w:lang w:val="en-GB"/>
        </w:rPr>
        <w:t xml:space="preserve"> </w:t>
      </w:r>
      <w:r w:rsidR="00C130BF">
        <w:rPr>
          <w:bCs/>
          <w:lang w:val="en-GB"/>
        </w:rPr>
        <w:fldChar w:fldCharType="begin" w:fldLock="1"/>
      </w:r>
      <w:r w:rsidR="00135836">
        <w:rPr>
          <w:bCs/>
          <w:lang w:val="en-GB"/>
        </w:rPr>
        <w:instrText>ADDIN CSL_CITATION {"citationItems":[{"id":"ITEM-1","itemData":{"DOI":"https://doi.org/10.1016/j.envint.2020.106365","ISSN":"0160-4120","abstract":"Background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International","id":"ITEM-1","issued":{"date-parts":[["2021"]]},"page":"106365","title":"Residing in urban areas with higher green space is associated with lower mortality risk: A census-based cohort study with ten years of follow-up","type":"article-journal","volume":"148"},"uris":["http://www.mendeley.com/documents/?uuid=0c494c14-c951-40e8-811e-08967e2b217f"]},{"id":"ITEM-2","itemData":{"DOI":"https://doi.org/10.1016/j.scitotenv.2022.153445","ISSN":"0048-9697","abstract":"Background Residing close to green spaces might reduce diabetes mellitus (DM) risk; however, evidence for diabetes mortality is limited. Moreover, individual and neighbourhood social factors may determine DM risk. Exposure to green spaces may also depend on socioeconomic position (SEP). This study examined the associations between residential greenness and diabetes-related mortality, and the role of the social environment in these associations. Methods We used the 2001 Belgian census linked to mortality register data for the period 2001–2014. We included individuals aged 40–79 years old and residing in the five largest Belgian urban areas at baseline. Exposure to residential greenness was assessed with surrounding greenness using the Normalized Difference Vegetation Index (NDVI) within 500-m of residence (objective indicator), and perceived neighbourhood greenness (subjective indicator). We conducted mixed-effects Cox proportional hazards models to obtain hazard ratios (HR) for diabetes-related mortality per interquartile range (IQR) increments of residential greenness. We assessed effect modification by social factors through stratification. Results From 2,309,236 individuals included at baseline, 1.2% died from DM during follow-up. Both residential greenness indicators were inversely associated with diabetes-related mortality after adjustment for individual social factors. After controlling for neighbourhood SEP, the beneficial association with surrounding greenness disappeared [HR 1.02 (95%CI:0.99,1.06)], but persisted with perceived neighbourhood greenness [HR 0.93 (95%CI:0.91,0.95)]. After stratification the inverse associations with perceived neighbourhood greenness were strongest for women, the lowest educated, and individuals residing in least deprived neighbourhoods. Conclusions Our findings suggest that an overall positive perception of neighbourhood green spaces reduces independently the risk of diabetes-related mortality, regardless of the neighbourhood social environment. Nevertheless, neighbourhood SEP may be a strong confounder in the associations between diabetes-related mortality and greenness indicators derived from satellite images. Perception factors not captured by objective measurements of green spaces are potentially relevant in the association with DM, especially among disadvantaged groups.","author":[{"dropping-particle":"","family":"Rodriguez-Loureiro","given":"Lucía","non-dropping-particle":"","parse-names":false,"suffix":""},{"dropping-particle":"","family":"Casas","given":"Lidia","non-dropping-particle":"","parse-names":false,"suffix":""},{"dropping-particle":"","family":"Bauwelinck","given":"Mariska","non-dropping-particle":"","parse-names":false,"suffix":""},{"dropping-particle":"","family":"Lefebvre","given":"Wouter","non-dropping-particle":"","parse-names":false,"suffix":""},{"dropping-particle":"","family":"Vanpoucke","given":"Charlotte","non-dropping-particle":"","parse-names":false,"suffix":""},{"dropping-particle":"","family":"Gadeyne","given":"Sylvie","non-dropping-particle":"","parse-names":false,"suffix":""}],"container-title":"Science of The Total Environment","id":"ITEM-2","issued":{"date-parts":[["2022"]]},"page":"153445","title":"Long-term exposure to objective and perceived residential greenness and diabetes mortality: A census-based cohort study","type":"article-journal"},"uris":["http://www.mendeley.com/documents/?uuid=09f9564f-02ba-4aa3-b6eb-a2b2d5eb8f96"]}],"mendeley":{"formattedCitation":"(Bauwelinck et al., 2021; Rodriguez-Loureiro et al., 2022)","plainTextFormattedCitation":"(Bauwelinck et al., 2021; Rodriguez-Loureiro et al., 2022)","previouslyFormattedCitation":"(Bauwelinck et al., 2021; Rodriguez-Loureiro et al., 2022)"},"properties":{"noteIndex":0},"schema":"https://github.com/citation-style-language/schema/raw/master/csl-citation.json"}</w:instrText>
      </w:r>
      <w:r w:rsidR="00C130BF">
        <w:rPr>
          <w:bCs/>
          <w:lang w:val="en-GB"/>
        </w:rPr>
        <w:fldChar w:fldCharType="separate"/>
      </w:r>
      <w:r w:rsidR="00C130BF" w:rsidRPr="00C130BF">
        <w:rPr>
          <w:bCs/>
          <w:noProof/>
          <w:lang w:val="en-GB"/>
        </w:rPr>
        <w:t>(Bauwelinck et al., 2021; Rodriguez-Loureiro et al., 2022)</w:t>
      </w:r>
      <w:r w:rsidR="00C130BF">
        <w:rPr>
          <w:bCs/>
          <w:lang w:val="en-GB"/>
        </w:rPr>
        <w:fldChar w:fldCharType="end"/>
      </w:r>
      <w:r w:rsidR="00C130BF">
        <w:rPr>
          <w:bCs/>
          <w:lang w:val="en-GB"/>
        </w:rPr>
        <w:t>.</w:t>
      </w:r>
      <w:r w:rsidR="00BA1BC5">
        <w:rPr>
          <w:bCs/>
          <w:lang w:val="en-GB"/>
        </w:rPr>
        <w:t xml:space="preserve"> </w:t>
      </w:r>
      <w:r w:rsidR="009A4117" w:rsidRPr="003C6A66">
        <w:rPr>
          <w:bCs/>
          <w:lang w:val="en-GB"/>
        </w:rPr>
        <w:t>In this study we aimed</w:t>
      </w:r>
      <w:r w:rsidR="00C24B3F" w:rsidRPr="003C6A66">
        <w:rPr>
          <w:bCs/>
          <w:lang w:val="en-GB"/>
        </w:rPr>
        <w:t xml:space="preserve"> to </w:t>
      </w:r>
      <w:r w:rsidR="001353AF">
        <w:rPr>
          <w:bCs/>
          <w:lang w:val="en-GB"/>
        </w:rPr>
        <w:t>examine</w:t>
      </w:r>
      <w:r w:rsidR="00C24B3F" w:rsidRPr="003C6A66">
        <w:rPr>
          <w:bCs/>
          <w:lang w:val="en-GB"/>
        </w:rPr>
        <w:t xml:space="preserve"> </w:t>
      </w:r>
      <w:r w:rsidR="008A6E29" w:rsidRPr="003C6A66">
        <w:rPr>
          <w:bCs/>
          <w:lang w:val="en-GB"/>
        </w:rPr>
        <w:t>the association</w:t>
      </w:r>
      <w:r w:rsidR="00B327AE">
        <w:rPr>
          <w:bCs/>
          <w:lang w:val="en-GB"/>
        </w:rPr>
        <w:t>s</w:t>
      </w:r>
      <w:r w:rsidR="008A6E29" w:rsidRPr="003C6A66">
        <w:rPr>
          <w:bCs/>
          <w:lang w:val="en-GB"/>
        </w:rPr>
        <w:t xml:space="preserve"> between </w:t>
      </w:r>
      <w:r w:rsidR="00C24B3F" w:rsidRPr="003C6A66">
        <w:rPr>
          <w:bCs/>
          <w:lang w:val="en-GB"/>
        </w:rPr>
        <w:t>exposure to green spaces and</w:t>
      </w:r>
      <w:r w:rsidR="007B3649" w:rsidRPr="003C6A66">
        <w:rPr>
          <w:bCs/>
          <w:lang w:val="en-GB"/>
        </w:rPr>
        <w:t xml:space="preserve"> </w:t>
      </w:r>
      <w:r w:rsidR="00A71EA9" w:rsidRPr="003C6A66">
        <w:rPr>
          <w:bCs/>
          <w:lang w:val="en-GB"/>
        </w:rPr>
        <w:t xml:space="preserve">site-specific cancer </w:t>
      </w:r>
      <w:r w:rsidR="007B3649" w:rsidRPr="003C6A66">
        <w:rPr>
          <w:bCs/>
          <w:lang w:val="en-GB"/>
        </w:rPr>
        <w:t xml:space="preserve">mortality </w:t>
      </w:r>
      <w:r w:rsidR="00625BD4" w:rsidRPr="003C6A66">
        <w:rPr>
          <w:bCs/>
          <w:lang w:val="en-GB"/>
        </w:rPr>
        <w:t>in</w:t>
      </w:r>
      <w:r w:rsidR="00603B45" w:rsidRPr="003C6A66">
        <w:rPr>
          <w:bCs/>
          <w:lang w:val="en-GB"/>
        </w:rPr>
        <w:t xml:space="preserve"> adults residing in</w:t>
      </w:r>
      <w:r w:rsidR="00625BD4" w:rsidRPr="003C6A66">
        <w:rPr>
          <w:bCs/>
          <w:lang w:val="en-GB"/>
        </w:rPr>
        <w:t xml:space="preserve"> urban areas in Belgium.</w:t>
      </w:r>
      <w:r w:rsidR="00955817" w:rsidRPr="003C6A66">
        <w:rPr>
          <w:bCs/>
          <w:lang w:val="en-GB"/>
        </w:rPr>
        <w:t xml:space="preserve"> </w:t>
      </w:r>
      <w:r w:rsidR="00595CEC" w:rsidRPr="003C6A66">
        <w:rPr>
          <w:bCs/>
          <w:lang w:val="en-GB"/>
        </w:rPr>
        <w:t xml:space="preserve">We also </w:t>
      </w:r>
      <w:r w:rsidR="00834329">
        <w:rPr>
          <w:bCs/>
          <w:lang w:val="en-GB"/>
        </w:rPr>
        <w:t>explored the role of</w:t>
      </w:r>
      <w:r w:rsidR="001459D1" w:rsidRPr="003C6A66">
        <w:rPr>
          <w:bCs/>
          <w:lang w:val="en-GB"/>
        </w:rPr>
        <w:t xml:space="preserve"> air pollution and effect modification by sociodemographic </w:t>
      </w:r>
      <w:r w:rsidR="0024586C">
        <w:rPr>
          <w:bCs/>
          <w:lang w:val="en-GB"/>
        </w:rPr>
        <w:t xml:space="preserve">and </w:t>
      </w:r>
      <w:r w:rsidR="00D442AE" w:rsidRPr="003C6A66">
        <w:rPr>
          <w:bCs/>
          <w:lang w:val="en-GB"/>
        </w:rPr>
        <w:t>socio</w:t>
      </w:r>
      <w:r w:rsidR="00D442AE">
        <w:rPr>
          <w:bCs/>
          <w:lang w:val="en-GB"/>
        </w:rPr>
        <w:t>economic</w:t>
      </w:r>
      <w:r w:rsidR="00D442AE" w:rsidRPr="003C6A66">
        <w:rPr>
          <w:bCs/>
          <w:lang w:val="en-GB"/>
        </w:rPr>
        <w:t xml:space="preserve"> </w:t>
      </w:r>
      <w:r w:rsidR="001459D1" w:rsidRPr="003C6A66">
        <w:rPr>
          <w:bCs/>
          <w:lang w:val="en-GB"/>
        </w:rPr>
        <w:t>indicators</w:t>
      </w:r>
      <w:r w:rsidR="00834329">
        <w:rPr>
          <w:bCs/>
          <w:lang w:val="en-GB"/>
        </w:rPr>
        <w:t xml:space="preserve"> in these associations</w:t>
      </w:r>
      <w:r w:rsidR="001459D1" w:rsidRPr="003C6A66">
        <w:rPr>
          <w:bCs/>
          <w:lang w:val="en-GB"/>
        </w:rPr>
        <w:t>.</w:t>
      </w:r>
    </w:p>
    <w:p w14:paraId="430DB9CB" w14:textId="77777777" w:rsidR="00CE7043" w:rsidRPr="003C6A66" w:rsidRDefault="00CE7043" w:rsidP="00801558">
      <w:pPr>
        <w:spacing w:line="276" w:lineRule="auto"/>
        <w:jc w:val="both"/>
        <w:rPr>
          <w:b/>
          <w:lang w:val="en-GB"/>
        </w:rPr>
      </w:pPr>
    </w:p>
    <w:p w14:paraId="47702335" w14:textId="2EA5C83C" w:rsidR="001920D8" w:rsidRPr="00EE58BB" w:rsidRDefault="001920D8" w:rsidP="00EE58BB">
      <w:pPr>
        <w:pStyle w:val="ListParagraph"/>
        <w:numPr>
          <w:ilvl w:val="0"/>
          <w:numId w:val="3"/>
        </w:numPr>
        <w:spacing w:line="276" w:lineRule="auto"/>
        <w:jc w:val="both"/>
        <w:rPr>
          <w:b/>
          <w:lang w:val="en-GB"/>
        </w:rPr>
      </w:pPr>
      <w:r w:rsidRPr="00EE58BB">
        <w:rPr>
          <w:b/>
          <w:lang w:val="en-GB"/>
        </w:rPr>
        <w:t>Methodology</w:t>
      </w:r>
    </w:p>
    <w:p w14:paraId="6A1816CC" w14:textId="615A71E5" w:rsidR="0050225F" w:rsidRPr="00EE58BB" w:rsidRDefault="0050225F" w:rsidP="00EE58BB">
      <w:pPr>
        <w:pStyle w:val="ListParagraph"/>
        <w:numPr>
          <w:ilvl w:val="1"/>
          <w:numId w:val="3"/>
        </w:numPr>
        <w:spacing w:line="276" w:lineRule="auto"/>
        <w:jc w:val="both"/>
        <w:rPr>
          <w:b/>
          <w:lang w:val="en-GB"/>
        </w:rPr>
      </w:pPr>
      <w:r w:rsidRPr="00EE58BB">
        <w:rPr>
          <w:b/>
          <w:lang w:val="en-GB"/>
        </w:rPr>
        <w:t>Data design and study population</w:t>
      </w:r>
    </w:p>
    <w:p w14:paraId="74E58CEB" w14:textId="2DB89EC7" w:rsidR="00342794" w:rsidRPr="003C6A66" w:rsidRDefault="003E2B94" w:rsidP="00801558">
      <w:pPr>
        <w:spacing w:line="276" w:lineRule="auto"/>
        <w:jc w:val="both"/>
        <w:rPr>
          <w:bCs/>
          <w:lang w:val="en-GB"/>
        </w:rPr>
      </w:pPr>
      <w:r w:rsidRPr="003C6A66">
        <w:rPr>
          <w:bCs/>
          <w:lang w:val="en-GB"/>
        </w:rPr>
        <w:t>Our</w:t>
      </w:r>
      <w:r w:rsidR="00801558" w:rsidRPr="003C6A66">
        <w:rPr>
          <w:bCs/>
          <w:lang w:val="en-GB"/>
        </w:rPr>
        <w:t xml:space="preserve"> dataset </w:t>
      </w:r>
      <w:r w:rsidRPr="003C6A66">
        <w:rPr>
          <w:bCs/>
          <w:lang w:val="en-GB"/>
        </w:rPr>
        <w:t>consisted</w:t>
      </w:r>
      <w:r w:rsidR="00801558" w:rsidRPr="003C6A66">
        <w:rPr>
          <w:bCs/>
          <w:lang w:val="en-GB"/>
        </w:rPr>
        <w:t xml:space="preserve"> of a</w:t>
      </w:r>
      <w:r w:rsidR="00A75DCF" w:rsidRPr="003C6A66">
        <w:rPr>
          <w:bCs/>
          <w:lang w:val="en-GB"/>
        </w:rPr>
        <w:t>n individual</w:t>
      </w:r>
      <w:r w:rsidR="00801558" w:rsidRPr="003C6A66">
        <w:rPr>
          <w:bCs/>
          <w:lang w:val="en-GB"/>
        </w:rPr>
        <w:t xml:space="preserve"> linkage between the 2001 Belgian census and register data on emigration </w:t>
      </w:r>
      <w:r w:rsidR="002C6029" w:rsidRPr="003C6A66">
        <w:rPr>
          <w:bCs/>
          <w:lang w:val="en-GB"/>
        </w:rPr>
        <w:t>and mortality during</w:t>
      </w:r>
      <w:r w:rsidR="002D58D4">
        <w:rPr>
          <w:bCs/>
          <w:lang w:val="en-GB"/>
        </w:rPr>
        <w:t xml:space="preserve"> a follow-up</w:t>
      </w:r>
      <w:r w:rsidR="009940B3">
        <w:rPr>
          <w:bCs/>
          <w:lang w:val="en-GB"/>
        </w:rPr>
        <w:t xml:space="preserve"> </w:t>
      </w:r>
      <w:r w:rsidR="00801558" w:rsidRPr="003C6A66">
        <w:rPr>
          <w:bCs/>
          <w:lang w:val="en-GB"/>
        </w:rPr>
        <w:t>period</w:t>
      </w:r>
      <w:r w:rsidR="004B0A52" w:rsidRPr="003C6A66">
        <w:rPr>
          <w:bCs/>
          <w:lang w:val="en-GB"/>
        </w:rPr>
        <w:t xml:space="preserve"> from the</w:t>
      </w:r>
      <w:r w:rsidR="00801558" w:rsidRPr="003C6A66">
        <w:rPr>
          <w:bCs/>
          <w:lang w:val="en-GB"/>
        </w:rPr>
        <w:t xml:space="preserve"> 1</w:t>
      </w:r>
      <w:r w:rsidR="00801558" w:rsidRPr="003C6A66">
        <w:rPr>
          <w:bCs/>
          <w:vertAlign w:val="superscript"/>
          <w:lang w:val="en-GB"/>
        </w:rPr>
        <w:t>st</w:t>
      </w:r>
      <w:r w:rsidR="00801558" w:rsidRPr="003C6A66">
        <w:rPr>
          <w:bCs/>
          <w:lang w:val="en-GB"/>
        </w:rPr>
        <w:t xml:space="preserve"> of October 2001 until the 31</w:t>
      </w:r>
      <w:r w:rsidR="00801558" w:rsidRPr="003C6A66">
        <w:rPr>
          <w:bCs/>
          <w:vertAlign w:val="superscript"/>
          <w:lang w:val="en-GB"/>
        </w:rPr>
        <w:t xml:space="preserve">st </w:t>
      </w:r>
      <w:r w:rsidR="00801558" w:rsidRPr="003C6A66">
        <w:rPr>
          <w:bCs/>
          <w:lang w:val="en-GB"/>
        </w:rPr>
        <w:t xml:space="preserve">of December 2014. The 2001 Belgian census was administered to the </w:t>
      </w:r>
      <w:r w:rsidR="00D442AE">
        <w:rPr>
          <w:bCs/>
          <w:lang w:val="en-GB"/>
        </w:rPr>
        <w:t>total</w:t>
      </w:r>
      <w:r w:rsidR="00D442AE" w:rsidRPr="003C6A66">
        <w:rPr>
          <w:bCs/>
          <w:lang w:val="en-GB"/>
        </w:rPr>
        <w:t xml:space="preserve"> </w:t>
      </w:r>
      <w:r w:rsidR="00801558" w:rsidRPr="003C6A66">
        <w:rPr>
          <w:bCs/>
          <w:lang w:val="en-GB"/>
        </w:rPr>
        <w:t xml:space="preserve">population officially residing in Belgium in 2001 and contains detailed information on sociodemographic and socioeconomic characteristics at baseline. </w:t>
      </w:r>
      <w:r w:rsidR="00A75DCF" w:rsidRPr="003C6A66">
        <w:rPr>
          <w:bCs/>
          <w:lang w:val="en-GB"/>
        </w:rPr>
        <w:t>This</w:t>
      </w:r>
      <w:r w:rsidR="00801558" w:rsidRPr="003C6A66">
        <w:rPr>
          <w:bCs/>
          <w:lang w:val="en-GB"/>
        </w:rPr>
        <w:t xml:space="preserve"> dataset was</w:t>
      </w:r>
      <w:r w:rsidR="00A75DCF" w:rsidRPr="003C6A66">
        <w:rPr>
          <w:bCs/>
          <w:lang w:val="en-GB"/>
        </w:rPr>
        <w:t xml:space="preserve"> additionally</w:t>
      </w:r>
      <w:r w:rsidR="00801558" w:rsidRPr="003C6A66">
        <w:rPr>
          <w:bCs/>
          <w:lang w:val="en-GB"/>
        </w:rPr>
        <w:t xml:space="preserve"> linked to</w:t>
      </w:r>
      <w:r w:rsidR="00CA7470" w:rsidRPr="003C6A66">
        <w:rPr>
          <w:bCs/>
          <w:lang w:val="en-GB"/>
        </w:rPr>
        <w:t xml:space="preserve"> information on</w:t>
      </w:r>
      <w:r w:rsidR="00801558" w:rsidRPr="003C6A66">
        <w:rPr>
          <w:bCs/>
          <w:lang w:val="en-GB"/>
        </w:rPr>
        <w:t xml:space="preserve"> environmental indicators (</w:t>
      </w:r>
      <w:r w:rsidR="003C6A66" w:rsidRPr="003C6A66">
        <w:rPr>
          <w:bCs/>
          <w:lang w:val="en-GB"/>
        </w:rPr>
        <w:t xml:space="preserve">i.e., </w:t>
      </w:r>
      <w:r w:rsidR="002907F8" w:rsidRPr="003C6A66">
        <w:rPr>
          <w:bCs/>
          <w:lang w:val="en-GB"/>
        </w:rPr>
        <w:t>green spaces</w:t>
      </w:r>
      <w:r w:rsidR="00B12599" w:rsidRPr="003C6A66">
        <w:rPr>
          <w:bCs/>
          <w:lang w:val="en-GB"/>
        </w:rPr>
        <w:t xml:space="preserve"> and</w:t>
      </w:r>
      <w:r w:rsidR="002907F8" w:rsidRPr="003C6A66">
        <w:rPr>
          <w:bCs/>
          <w:lang w:val="en-GB"/>
        </w:rPr>
        <w:t xml:space="preserve"> air pollution)</w:t>
      </w:r>
      <w:r w:rsidR="00801558" w:rsidRPr="003C6A66">
        <w:rPr>
          <w:bCs/>
          <w:lang w:val="en-GB"/>
        </w:rPr>
        <w:t xml:space="preserve"> </w:t>
      </w:r>
      <w:r w:rsidR="006D7A06" w:rsidRPr="003C6A66">
        <w:rPr>
          <w:bCs/>
          <w:lang w:val="en-GB"/>
        </w:rPr>
        <w:t>using</w:t>
      </w:r>
      <w:r w:rsidR="002907F8" w:rsidRPr="003C6A66">
        <w:rPr>
          <w:bCs/>
          <w:lang w:val="en-GB"/>
        </w:rPr>
        <w:t xml:space="preserve"> the residential address of every</w:t>
      </w:r>
      <w:r w:rsidR="00342794" w:rsidRPr="003C6A66">
        <w:rPr>
          <w:bCs/>
          <w:lang w:val="en-GB"/>
        </w:rPr>
        <w:t xml:space="preserve"> </w:t>
      </w:r>
      <w:r w:rsidR="0086105C" w:rsidRPr="003C6A66">
        <w:rPr>
          <w:bCs/>
          <w:lang w:val="en-GB"/>
        </w:rPr>
        <w:t>individual</w:t>
      </w:r>
      <w:r w:rsidR="00342794" w:rsidRPr="003C6A66">
        <w:rPr>
          <w:bCs/>
          <w:lang w:val="en-GB"/>
        </w:rPr>
        <w:t xml:space="preserve"> </w:t>
      </w:r>
      <w:r w:rsidR="002907F8" w:rsidRPr="003C6A66">
        <w:rPr>
          <w:bCs/>
          <w:lang w:val="en-GB"/>
        </w:rPr>
        <w:t xml:space="preserve">in the census. </w:t>
      </w:r>
      <w:r w:rsidR="00A927C7" w:rsidRPr="003C6A66">
        <w:rPr>
          <w:bCs/>
          <w:lang w:val="en-GB"/>
        </w:rPr>
        <w:t>Our study population included</w:t>
      </w:r>
      <w:r w:rsidR="002907F8" w:rsidRPr="003C6A66">
        <w:rPr>
          <w:bCs/>
          <w:lang w:val="en-GB"/>
        </w:rPr>
        <w:t xml:space="preserve"> the non-institutionalized population </w:t>
      </w:r>
      <w:r w:rsidR="00342794" w:rsidRPr="003C6A66">
        <w:rPr>
          <w:bCs/>
          <w:lang w:val="en-GB"/>
        </w:rPr>
        <w:t xml:space="preserve">aged 30 years or older and </w:t>
      </w:r>
      <w:r w:rsidR="002907F8" w:rsidRPr="003C6A66">
        <w:rPr>
          <w:bCs/>
          <w:lang w:val="en-GB"/>
        </w:rPr>
        <w:t>residing in one of the five largest urban areas in Belgium (Antwerp, Ghent, Brussels, Charleroi, and Liège).</w:t>
      </w:r>
      <w:r w:rsidR="00342794" w:rsidRPr="003C6A66">
        <w:rPr>
          <w:bCs/>
          <w:lang w:val="en-GB"/>
        </w:rPr>
        <w:t xml:space="preserve"> These areas </w:t>
      </w:r>
      <w:r w:rsidR="00BC350E" w:rsidRPr="003C6A66">
        <w:rPr>
          <w:bCs/>
          <w:lang w:val="en-GB"/>
        </w:rPr>
        <w:t>comprise</w:t>
      </w:r>
      <w:r w:rsidR="00342794" w:rsidRPr="003C6A66">
        <w:rPr>
          <w:bCs/>
          <w:lang w:val="en-GB"/>
        </w:rPr>
        <w:t xml:space="preserve"> more than 250,000 inhabitants</w:t>
      </w:r>
      <w:r w:rsidR="006E2243" w:rsidRPr="003C6A66">
        <w:rPr>
          <w:bCs/>
          <w:lang w:val="en-GB"/>
        </w:rPr>
        <w:t xml:space="preserve"> </w:t>
      </w:r>
      <w:r w:rsidR="00792184">
        <w:rPr>
          <w:bCs/>
          <w:lang w:val="en-GB"/>
        </w:rPr>
        <w:t xml:space="preserve">each </w:t>
      </w:r>
      <w:r w:rsidR="006E2243" w:rsidRPr="003C6A66">
        <w:rPr>
          <w:bCs/>
          <w:lang w:val="en-GB"/>
        </w:rPr>
        <w:t>and</w:t>
      </w:r>
      <w:r w:rsidR="00342794" w:rsidRPr="003C6A66">
        <w:rPr>
          <w:bCs/>
          <w:lang w:val="en-GB"/>
        </w:rPr>
        <w:t xml:space="preserve"> </w:t>
      </w:r>
      <w:r w:rsidR="00BC350E" w:rsidRPr="003C6A66">
        <w:rPr>
          <w:bCs/>
          <w:lang w:val="en-GB"/>
        </w:rPr>
        <w:t>includ</w:t>
      </w:r>
      <w:r w:rsidR="006E2243" w:rsidRPr="003C6A66">
        <w:rPr>
          <w:bCs/>
          <w:lang w:val="en-GB"/>
        </w:rPr>
        <w:t>e</w:t>
      </w:r>
      <w:r w:rsidR="00342794" w:rsidRPr="003C6A66">
        <w:rPr>
          <w:bCs/>
          <w:lang w:val="en-GB"/>
        </w:rPr>
        <w:t xml:space="preserve"> the city and </w:t>
      </w:r>
      <w:r w:rsidR="00FE5FDB">
        <w:rPr>
          <w:bCs/>
          <w:lang w:val="en-GB"/>
        </w:rPr>
        <w:t>its</w:t>
      </w:r>
      <w:r w:rsidR="00FE5FDB" w:rsidRPr="003C6A66">
        <w:rPr>
          <w:bCs/>
          <w:lang w:val="en-GB"/>
        </w:rPr>
        <w:t xml:space="preserve"> </w:t>
      </w:r>
      <w:r w:rsidR="00342794" w:rsidRPr="003C6A66">
        <w:rPr>
          <w:bCs/>
          <w:lang w:val="en-GB"/>
        </w:rPr>
        <w:t xml:space="preserve">commuting zone </w:t>
      </w:r>
      <w:r w:rsidR="00342794" w:rsidRPr="003C6A66">
        <w:rPr>
          <w:bCs/>
          <w:lang w:val="en-GB"/>
        </w:rPr>
        <w:fldChar w:fldCharType="begin" w:fldLock="1"/>
      </w:r>
      <w:r w:rsidR="00525CEF">
        <w:rPr>
          <w:bCs/>
          <w:lang w:val="en-GB"/>
        </w:rPr>
        <w:instrText>ADDIN CSL_CITATION {"citationItems":[{"id":"ITEM-1","itemData":{"author":[{"dropping-particle":"","family":"Luyten","given":"Sarah","non-dropping-particle":"","parse-names":false,"suffix":""},{"dropping-particle":"","family":"Hecke","given":"Etienne","non-dropping-particle":"Van","parse-names":false,"suffix":""}],"id":"ITEM-1","issued":{"date-parts":[["2007"]]},"publisher-place":"Leuvenseweg 44 1000 Brussel","title":"Statistics Belgium Working Paper: De Belgische Stadsgewesten 2001 [in English: the Belgian city districts 2001]","type":"report"},"uris":["http://www.mendeley.com/documents/?uuid=ddd49610-c04d-4113-ad6f-97413afdaaf2"]}],"mendeley":{"formattedCitation":"(Luyten and Van Hecke, 2007)","plainTextFormattedCitation":"(Luyten and Van Hecke, 2007)","previouslyFormattedCitation":"(Luyten and Van Hecke, 2007)"},"properties":{"noteIndex":0},"schema":"https://github.com/citation-style-language/schema/raw/master/csl-citation.json"}</w:instrText>
      </w:r>
      <w:r w:rsidR="00342794" w:rsidRPr="003C6A66">
        <w:rPr>
          <w:bCs/>
          <w:lang w:val="en-GB"/>
        </w:rPr>
        <w:fldChar w:fldCharType="separate"/>
      </w:r>
      <w:r w:rsidR="00D10DDE" w:rsidRPr="00D10DDE">
        <w:rPr>
          <w:bCs/>
          <w:noProof/>
          <w:lang w:val="en-GB"/>
        </w:rPr>
        <w:t>(Luyten and Van Hecke, 2007)</w:t>
      </w:r>
      <w:r w:rsidR="00342794" w:rsidRPr="003C6A66">
        <w:rPr>
          <w:bCs/>
          <w:lang w:val="en-GB"/>
        </w:rPr>
        <w:fldChar w:fldCharType="end"/>
      </w:r>
      <w:r w:rsidR="00342794" w:rsidRPr="003C6A66">
        <w:rPr>
          <w:bCs/>
          <w:lang w:val="en-GB"/>
        </w:rPr>
        <w:t>.</w:t>
      </w:r>
    </w:p>
    <w:p w14:paraId="561C715F" w14:textId="590C9563" w:rsidR="001920D8" w:rsidRPr="00EE58BB" w:rsidRDefault="00342794" w:rsidP="00EE58BB">
      <w:pPr>
        <w:pStyle w:val="ListParagraph"/>
        <w:numPr>
          <w:ilvl w:val="1"/>
          <w:numId w:val="3"/>
        </w:numPr>
        <w:spacing w:line="276" w:lineRule="auto"/>
        <w:jc w:val="both"/>
        <w:rPr>
          <w:b/>
          <w:lang w:val="en-GB"/>
        </w:rPr>
      </w:pPr>
      <w:r w:rsidRPr="00EE58BB">
        <w:rPr>
          <w:b/>
          <w:lang w:val="en-GB"/>
        </w:rPr>
        <w:t>Site-specific cancer mortality</w:t>
      </w:r>
    </w:p>
    <w:p w14:paraId="4F6BD057" w14:textId="4CFA6A6D" w:rsidR="00342794" w:rsidRPr="001545E8" w:rsidRDefault="00342794" w:rsidP="00801558">
      <w:pPr>
        <w:spacing w:line="276" w:lineRule="auto"/>
        <w:jc w:val="both"/>
        <w:rPr>
          <w:bCs/>
          <w:lang w:val="en-US"/>
        </w:rPr>
      </w:pPr>
      <w:r w:rsidRPr="003C6A66">
        <w:rPr>
          <w:bCs/>
          <w:lang w:val="en-GB"/>
        </w:rPr>
        <w:t xml:space="preserve">Mortality data </w:t>
      </w:r>
      <w:r w:rsidR="001150D9" w:rsidRPr="003C6A66">
        <w:rPr>
          <w:bCs/>
          <w:lang w:val="en-GB"/>
        </w:rPr>
        <w:t>provided</w:t>
      </w:r>
      <w:r w:rsidRPr="003C6A66">
        <w:rPr>
          <w:bCs/>
          <w:lang w:val="en-GB"/>
        </w:rPr>
        <w:t xml:space="preserve"> </w:t>
      </w:r>
      <w:r w:rsidR="00A75DCF" w:rsidRPr="003C6A66">
        <w:rPr>
          <w:bCs/>
          <w:lang w:val="en-GB"/>
        </w:rPr>
        <w:t xml:space="preserve">information on </w:t>
      </w:r>
      <w:r w:rsidR="001150D9" w:rsidRPr="003C6A66">
        <w:rPr>
          <w:bCs/>
          <w:lang w:val="en-GB"/>
        </w:rPr>
        <w:t>the</w:t>
      </w:r>
      <w:r w:rsidR="00A75DCF" w:rsidRPr="003C6A66">
        <w:rPr>
          <w:bCs/>
          <w:lang w:val="en-GB"/>
        </w:rPr>
        <w:t xml:space="preserve"> original cause of death</w:t>
      </w:r>
      <w:r w:rsidR="00E45201" w:rsidRPr="003C6A66">
        <w:rPr>
          <w:bCs/>
          <w:lang w:val="en-GB"/>
        </w:rPr>
        <w:t xml:space="preserve"> issued in the death certificates</w:t>
      </w:r>
      <w:r w:rsidR="007726E4">
        <w:rPr>
          <w:bCs/>
          <w:lang w:val="en-GB"/>
        </w:rPr>
        <w:t>. The cause of death is</w:t>
      </w:r>
      <w:r w:rsidR="001150D9" w:rsidRPr="003C6A66">
        <w:rPr>
          <w:bCs/>
          <w:lang w:val="en-GB"/>
        </w:rPr>
        <w:t xml:space="preserve"> coded</w:t>
      </w:r>
      <w:r w:rsidR="00A75DCF" w:rsidRPr="003C6A66">
        <w:rPr>
          <w:bCs/>
          <w:lang w:val="en-GB"/>
        </w:rPr>
        <w:t xml:space="preserve"> using the 10</w:t>
      </w:r>
      <w:r w:rsidR="00A75DCF" w:rsidRPr="003C6A66">
        <w:rPr>
          <w:bCs/>
          <w:vertAlign w:val="superscript"/>
          <w:lang w:val="en-GB"/>
        </w:rPr>
        <w:t>th</w:t>
      </w:r>
      <w:r w:rsidR="00A75DCF" w:rsidRPr="003C6A66">
        <w:rPr>
          <w:bCs/>
          <w:lang w:val="en-GB"/>
        </w:rPr>
        <w:t xml:space="preserve"> revision of the International Classification of Diseases </w:t>
      </w:r>
      <w:r w:rsidR="00BB50F4" w:rsidRPr="003C6A66">
        <w:rPr>
          <w:bCs/>
          <w:lang w:val="en-GB"/>
        </w:rPr>
        <w:t xml:space="preserve">(ICD-10) </w:t>
      </w:r>
      <w:r w:rsidR="00BB50F4" w:rsidRPr="003C6A66">
        <w:rPr>
          <w:bCs/>
          <w:lang w:val="en-GB"/>
        </w:rPr>
        <w:fldChar w:fldCharType="begin" w:fldLock="1"/>
      </w:r>
      <w:r w:rsidR="00525CEF">
        <w:rPr>
          <w:bCs/>
          <w:lang w:val="en-GB"/>
        </w:rPr>
        <w:instrText>ADDIN CSL_CITATION {"citationItems":[{"id":"ITEM-1","itemData":{"URL":"https://icd.who.int/browse10/2016/en","accessed":{"date-parts":[["2019","10","9"]]},"author":[{"dropping-particle":"","family":"World Health Organization (WHO)","given":"","non-dropping-particle":"","parse-names":false,"suffix":""}],"id":"ITEM-1","issued":{"date-parts":[["2016"]]},"title":"ICD-10 Version: 2016","type":"webpage"},"uris":["http://www.mendeley.com/documents/?uuid=5abdbf60-d531-4066-b42b-22b489991cd1"]}],"mendeley":{"formattedCitation":"(World Health Organization (WHO), 2016)","plainTextFormattedCitation":"(World Health Organization (WHO), 2016)","previouslyFormattedCitation":"(World Health Organization (WHO), 2016)"},"properties":{"noteIndex":0},"schema":"https://github.com/citation-style-language/schema/raw/master/csl-citation.json"}</w:instrText>
      </w:r>
      <w:r w:rsidR="00BB50F4" w:rsidRPr="003C6A66">
        <w:rPr>
          <w:bCs/>
          <w:lang w:val="en-GB"/>
        </w:rPr>
        <w:fldChar w:fldCharType="separate"/>
      </w:r>
      <w:r w:rsidR="00D10DDE" w:rsidRPr="00D10DDE">
        <w:rPr>
          <w:bCs/>
          <w:noProof/>
          <w:lang w:val="en-GB"/>
        </w:rPr>
        <w:t>(World Health Organization (WHO), 2016)</w:t>
      </w:r>
      <w:r w:rsidR="00BB50F4" w:rsidRPr="003C6A66">
        <w:rPr>
          <w:bCs/>
          <w:lang w:val="en-GB"/>
        </w:rPr>
        <w:fldChar w:fldCharType="end"/>
      </w:r>
      <w:r w:rsidR="00BB50F4" w:rsidRPr="003C6A66">
        <w:rPr>
          <w:bCs/>
          <w:lang w:val="en-GB"/>
        </w:rPr>
        <w:t>.</w:t>
      </w:r>
      <w:r w:rsidR="001150D9" w:rsidRPr="003C6A66">
        <w:rPr>
          <w:bCs/>
          <w:lang w:val="en-GB"/>
        </w:rPr>
        <w:t xml:space="preserve"> We considered deaths </w:t>
      </w:r>
      <w:r w:rsidR="001150D9" w:rsidRPr="00846E1A">
        <w:rPr>
          <w:bCs/>
          <w:lang w:val="en-GB"/>
        </w:rPr>
        <w:t xml:space="preserve">from </w:t>
      </w:r>
      <w:r w:rsidR="001150D9" w:rsidRPr="003C6A66">
        <w:rPr>
          <w:bCs/>
          <w:lang w:val="en-GB"/>
        </w:rPr>
        <w:t>lung cancer (ICD-10 code: C34) and colorectal cancer (ICD-10 codes: C18-C22)</w:t>
      </w:r>
      <w:r w:rsidR="00D12E5D" w:rsidRPr="003C6A66">
        <w:rPr>
          <w:bCs/>
          <w:lang w:val="en-GB"/>
        </w:rPr>
        <w:t xml:space="preserve"> in the </w:t>
      </w:r>
      <w:r w:rsidR="002D58D4">
        <w:rPr>
          <w:bCs/>
          <w:lang w:val="en-GB"/>
        </w:rPr>
        <w:t>total</w:t>
      </w:r>
      <w:r w:rsidR="002D58D4" w:rsidRPr="003C6A66">
        <w:rPr>
          <w:bCs/>
          <w:lang w:val="en-GB"/>
        </w:rPr>
        <w:t xml:space="preserve"> </w:t>
      </w:r>
      <w:r w:rsidR="00D12E5D" w:rsidRPr="003C6A66">
        <w:rPr>
          <w:bCs/>
          <w:lang w:val="en-GB"/>
        </w:rPr>
        <w:t>study population</w:t>
      </w:r>
      <w:r w:rsidR="001150D9" w:rsidRPr="003C6A66">
        <w:rPr>
          <w:bCs/>
          <w:lang w:val="en-GB"/>
        </w:rPr>
        <w:t>; breast cancer</w:t>
      </w:r>
      <w:r w:rsidR="00D12E5D" w:rsidRPr="003C6A66">
        <w:rPr>
          <w:bCs/>
          <w:lang w:val="en-GB"/>
        </w:rPr>
        <w:t xml:space="preserve"> </w:t>
      </w:r>
      <w:r w:rsidR="001150D9" w:rsidRPr="003C6A66">
        <w:rPr>
          <w:bCs/>
          <w:lang w:val="en-GB"/>
        </w:rPr>
        <w:t>(ICD-10 code: C50)</w:t>
      </w:r>
      <w:r w:rsidR="00D12E5D" w:rsidRPr="003C6A66">
        <w:rPr>
          <w:bCs/>
          <w:lang w:val="en-GB"/>
        </w:rPr>
        <w:t xml:space="preserve"> in women</w:t>
      </w:r>
      <w:r w:rsidR="001150D9" w:rsidRPr="003C6A66">
        <w:rPr>
          <w:bCs/>
          <w:lang w:val="en-GB"/>
        </w:rPr>
        <w:t>; and prostate cancer (ICD-10 code: C61)</w:t>
      </w:r>
      <w:r w:rsidR="00D12E5D" w:rsidRPr="003C6A66">
        <w:rPr>
          <w:bCs/>
          <w:lang w:val="en-GB"/>
        </w:rPr>
        <w:t xml:space="preserve"> in men</w:t>
      </w:r>
      <w:r w:rsidR="00846E1A">
        <w:rPr>
          <w:bCs/>
          <w:lang w:val="en-GB"/>
        </w:rPr>
        <w:t>. These are the most prevalent cancers in Belgium</w:t>
      </w:r>
      <w:r w:rsidR="00D12E5D" w:rsidRPr="003C6A66">
        <w:rPr>
          <w:bCs/>
          <w:lang w:val="en-GB"/>
        </w:rPr>
        <w:t xml:space="preserve"> </w:t>
      </w:r>
      <w:r w:rsidR="00D12E5D" w:rsidRPr="003C6A66">
        <w:rPr>
          <w:bCs/>
          <w:lang w:val="en-GB"/>
        </w:rPr>
        <w:fldChar w:fldCharType="begin" w:fldLock="1"/>
      </w:r>
      <w:r w:rsidR="00525CEF">
        <w:rPr>
          <w:bCs/>
          <w:lang w:val="en-GB"/>
        </w:rPr>
        <w:instrText>ADDIN CSL_CITATION {"citationItems":[{"id":"ITEM-1","itemData":{"author":[{"dropping-particle":"","family":"Belgian Cancer Registry","given":"","non-dropping-particle":"","parse-names":false,"suffix":""}],"id":"ITEM-1","issued":{"date-parts":[["2020"]]},"publisher-place":"Brussels, Belgium","title":"Cancer Burden in Belgium 2004-2016","type":"report"},"uris":["http://www.mendeley.com/documents/?uuid=98304335-b2dc-4c54-bc9f-78d10ae91c31"]}],"mendeley":{"formattedCitation":"(Belgian Cancer Registry, 2020)","plainTextFormattedCitation":"(Belgian Cancer Registry, 2020)","previouslyFormattedCitation":"(Belgian Cancer Registry, 2020)"},"properties":{"noteIndex":0},"schema":"https://github.com/citation-style-language/schema/raw/master/csl-citation.json"}</w:instrText>
      </w:r>
      <w:r w:rsidR="00D12E5D" w:rsidRPr="003C6A66">
        <w:rPr>
          <w:bCs/>
          <w:lang w:val="en-GB"/>
        </w:rPr>
        <w:fldChar w:fldCharType="separate"/>
      </w:r>
      <w:r w:rsidR="00D10DDE" w:rsidRPr="00D10DDE">
        <w:rPr>
          <w:bCs/>
          <w:noProof/>
          <w:lang w:val="en-GB"/>
        </w:rPr>
        <w:t>(Belgian Cancer Registry, 2020)</w:t>
      </w:r>
      <w:r w:rsidR="00D12E5D" w:rsidRPr="003C6A66">
        <w:rPr>
          <w:bCs/>
          <w:lang w:val="en-GB"/>
        </w:rPr>
        <w:fldChar w:fldCharType="end"/>
      </w:r>
      <w:r w:rsidR="006B272C">
        <w:rPr>
          <w:bCs/>
          <w:lang w:val="en-GB"/>
        </w:rPr>
        <w:t xml:space="preserve"> and are potentially influenced by </w:t>
      </w:r>
      <w:r w:rsidR="00A861EF">
        <w:rPr>
          <w:bCs/>
          <w:lang w:val="en-GB"/>
        </w:rPr>
        <w:t>the built environment</w:t>
      </w:r>
      <w:r w:rsidR="008B1E5F">
        <w:rPr>
          <w:bCs/>
          <w:lang w:val="en-GB"/>
        </w:rPr>
        <w:t xml:space="preserve"> at different stages</w:t>
      </w:r>
      <w:r w:rsidR="00AA5355">
        <w:rPr>
          <w:bCs/>
          <w:lang w:val="en-GB"/>
        </w:rPr>
        <w:t xml:space="preserve"> of the cancer continuum (e.g., prevention, </w:t>
      </w:r>
      <w:r w:rsidR="00F7641E">
        <w:rPr>
          <w:bCs/>
          <w:lang w:val="en-GB"/>
        </w:rPr>
        <w:t xml:space="preserve">incidence/risk, or </w:t>
      </w:r>
      <w:r w:rsidR="00AA5355">
        <w:rPr>
          <w:bCs/>
          <w:lang w:val="en-GB"/>
        </w:rPr>
        <w:t>survival)</w:t>
      </w:r>
      <w:r w:rsidR="00C90FA8">
        <w:rPr>
          <w:bCs/>
          <w:lang w:val="en-GB"/>
        </w:rPr>
        <w:t xml:space="preserve"> </w:t>
      </w:r>
      <w:r w:rsidR="00C90FA8">
        <w:rPr>
          <w:bCs/>
          <w:lang w:val="en-GB"/>
        </w:rPr>
        <w:fldChar w:fldCharType="begin" w:fldLock="1"/>
      </w:r>
      <w:r w:rsidR="00EF4438">
        <w:rPr>
          <w:bCs/>
          <w:lang w:val="en-GB"/>
        </w:rPr>
        <w:instrText>ADDIN CSL_CITATION {"citationItems":[{"id":"ITEM-1","itemData":{"DOI":"https://doi.org/10.1002/cncr.29345","ISSN":"0008-543X","abstract":"Neighborhood social and built environments have been recognized as important contexts in which health is shaped. The authors reviewed the extent to which these neighborhood factors have been addressed in population-level cancer research by scanning the literature for research focused on specific social and/or built environment characteristics and their association with outcomes across the cancer continuum, including incidence, diagnosis, treatment, survivorship, and survival. The commonalities and differences in methodologies across studies, the current challenges in research methodology, and future directions in this research also were addressed. The assessment of social and built environment factors in relation to cancer is a relatively new field, with 82% of the 34 reviewed articles published since 2010. Across the wide range of social and built environment exposures and cancer outcomes considered by the studies, numerous associations were reported. However, the directions and magnitudes of associations varied, in large part because of the variation in cancer sites and outcomes studied, but also likely because of differences in study populations, geographic regions, and, importantly, choice of neighborhood measures and geographic scales. The authors recommend that future studies consider the life-course implications of cancer incidence and survival, integrate secondary and self-report data, consider work neighborhood environments, and further develop analytical and statistical approaches appropriate to the geospatial and multilevel nature of the data. Incorporating social and built environment factors into research on cancer etiology and outcomes can provide insights into disease processes, identify vulnerable populations, and generate results with translational impact of relevance for interventionists and policy makers. Cancer 2015;121:2314?2330. ? 2015 American Cancer Society.","author":[{"dropping-particle":"","family":"Gomez","given":"Scarlett Lin","non-dropping-particle":"","parse-names":false,"suffix":""},{"dropping-particle":"","family":"Shariff-Marco","given":"Salma","non-dropping-particle":"","parse-names":false,"suffix":""},{"dropping-</w:instrText>
      </w:r>
      <w:r w:rsidR="00EF4438" w:rsidRPr="001545E8">
        <w:rPr>
          <w:bCs/>
          <w:lang w:val="en-US"/>
        </w:rPr>
        <w:instrText>particle":"","family":"DeRouen","given":"Mindy","non-dropping-particle":"","parse-names":false,"suffix":""},{"dropping-particle":"","family":"Keegan","given":"Theresa H M","non-dropping-particle":"","parse-names":false,"suffix":""},{"dropping-particle":"","family":"Yen","given":"Irene H","non-dropping-particle":"","parse-names":false,"suffix":""},{"dropping-particle":"","family":"Mujahid","given":"Mahasin","non-dropping-particle":"","parse-names":false,"suffix":""},{"dropping-particle":"","family":"Satariano","given":"William A","non-dropping-particle":"","parse-names":false,"suffix":""},{"dropping-particle":"","family":"Glaser","given":"Sally L","non-dropping-particle":"","parse-names":false,"suffix":""}],"container-title":"Cancer","id":"ITEM-1","issue":"14","issued":{"date-parts":[["2015","7","15"]]},"note":"https://doi.org/10.1002/cncr.29345","page":"2314-2330","publisher":"John Wiley &amp; Sons, Ltd","title":"The impact of neighborhood social and built environment factors across the cancer continuum: Current research, methodological considerations, and future directions","type":"article-journal","volume":"121"},"uris":["http://www.mendeley.com/documents/?uuid=2582280c-6486-4426-ba12-f80f7a9ae12e"]}],"mendeley":{"formattedCitation":"(Gomez et al., 2015)","plainTextFormattedCitation":"(Gomez et al., 2015)","previouslyFormattedCitation":"(Gomez et al., 2015)"},"properties":{"noteIndex":0},"schema":"https://github.com/citation-style-language/schema/raw/master/csl-citation.json"}</w:instrText>
      </w:r>
      <w:r w:rsidR="00C90FA8">
        <w:rPr>
          <w:bCs/>
          <w:lang w:val="en-GB"/>
        </w:rPr>
        <w:fldChar w:fldCharType="separate"/>
      </w:r>
      <w:r w:rsidR="00C90FA8" w:rsidRPr="001545E8">
        <w:rPr>
          <w:bCs/>
          <w:noProof/>
          <w:lang w:val="en-US"/>
        </w:rPr>
        <w:t>(Gomez et al., 2015)</w:t>
      </w:r>
      <w:r w:rsidR="00C90FA8">
        <w:rPr>
          <w:bCs/>
          <w:lang w:val="en-GB"/>
        </w:rPr>
        <w:fldChar w:fldCharType="end"/>
      </w:r>
      <w:r w:rsidR="00D12E5D" w:rsidRPr="001545E8">
        <w:rPr>
          <w:bCs/>
          <w:lang w:val="en-US"/>
        </w:rPr>
        <w:t>.</w:t>
      </w:r>
    </w:p>
    <w:p w14:paraId="037AC0BC" w14:textId="1BE0ED36" w:rsidR="00D12E5D" w:rsidRPr="00EE58BB" w:rsidRDefault="00D12E5D" w:rsidP="00EE58BB">
      <w:pPr>
        <w:pStyle w:val="ListParagraph"/>
        <w:numPr>
          <w:ilvl w:val="1"/>
          <w:numId w:val="3"/>
        </w:numPr>
        <w:spacing w:line="276" w:lineRule="auto"/>
        <w:jc w:val="both"/>
        <w:rPr>
          <w:b/>
          <w:lang w:val="en-US"/>
        </w:rPr>
      </w:pPr>
      <w:r w:rsidRPr="00EE58BB">
        <w:rPr>
          <w:b/>
          <w:lang w:val="en-US"/>
        </w:rPr>
        <w:t>Residential green spaces</w:t>
      </w:r>
    </w:p>
    <w:p w14:paraId="232D4C85" w14:textId="29D0FB21" w:rsidR="00D12E5D" w:rsidRPr="00F20926" w:rsidRDefault="00DB1ED1" w:rsidP="00801558">
      <w:pPr>
        <w:spacing w:line="276" w:lineRule="auto"/>
        <w:jc w:val="both"/>
        <w:rPr>
          <w:color w:val="000000"/>
          <w:lang w:val="en-GB"/>
        </w:rPr>
      </w:pPr>
      <w:r w:rsidRPr="001545E8">
        <w:rPr>
          <w:bCs/>
          <w:lang w:val="en-US"/>
        </w:rPr>
        <w:t>To assess exposure to green spaces in the residence, w</w:t>
      </w:r>
      <w:r w:rsidR="00DF350F" w:rsidRPr="001545E8">
        <w:rPr>
          <w:bCs/>
          <w:lang w:val="en-US"/>
        </w:rPr>
        <w:t xml:space="preserve">e used </w:t>
      </w:r>
      <w:r w:rsidR="00446AEA" w:rsidRPr="001545E8">
        <w:rPr>
          <w:bCs/>
          <w:lang w:val="en-US"/>
        </w:rPr>
        <w:t>two objective</w:t>
      </w:r>
      <w:r w:rsidR="00DF350F" w:rsidRPr="001545E8">
        <w:rPr>
          <w:bCs/>
          <w:lang w:val="en-US"/>
        </w:rPr>
        <w:t xml:space="preserve"> indicators</w:t>
      </w:r>
      <w:r w:rsidR="00446AEA" w:rsidRPr="001545E8">
        <w:rPr>
          <w:bCs/>
          <w:lang w:val="en-US"/>
        </w:rPr>
        <w:t xml:space="preserve"> and one </w:t>
      </w:r>
      <w:r w:rsidRPr="001545E8">
        <w:rPr>
          <w:bCs/>
          <w:lang w:val="en-US"/>
        </w:rPr>
        <w:t>subjective</w:t>
      </w:r>
      <w:r w:rsidR="002D58D4" w:rsidRPr="001545E8">
        <w:rPr>
          <w:bCs/>
          <w:lang w:val="en-US"/>
        </w:rPr>
        <w:t xml:space="preserve"> indicator</w:t>
      </w:r>
      <w:r w:rsidR="00DF350F" w:rsidRPr="001545E8">
        <w:rPr>
          <w:bCs/>
          <w:lang w:val="en-US"/>
        </w:rPr>
        <w:t>.</w:t>
      </w:r>
      <w:r w:rsidR="00016B55" w:rsidRPr="001545E8">
        <w:rPr>
          <w:bCs/>
          <w:lang w:val="en-US"/>
        </w:rPr>
        <w:t xml:space="preserve"> </w:t>
      </w:r>
      <w:r>
        <w:rPr>
          <w:bCs/>
          <w:lang w:val="en-GB"/>
        </w:rPr>
        <w:t>The</w:t>
      </w:r>
      <w:r w:rsidR="00723697" w:rsidRPr="003C6A66">
        <w:rPr>
          <w:bCs/>
          <w:lang w:val="en-GB"/>
        </w:rPr>
        <w:t xml:space="preserve"> objective</w:t>
      </w:r>
      <w:r w:rsidR="007A0830" w:rsidRPr="003C6A66">
        <w:rPr>
          <w:bCs/>
          <w:lang w:val="en-GB"/>
        </w:rPr>
        <w:t xml:space="preserve"> indicators</w:t>
      </w:r>
      <w:r>
        <w:rPr>
          <w:bCs/>
          <w:lang w:val="en-GB"/>
        </w:rPr>
        <w:t xml:space="preserve"> were</w:t>
      </w:r>
      <w:r w:rsidR="00016B55" w:rsidRPr="003C6A66">
        <w:rPr>
          <w:bCs/>
          <w:lang w:val="en-GB"/>
        </w:rPr>
        <w:t xml:space="preserve"> surrounding greenness</w:t>
      </w:r>
      <w:r w:rsidR="00E93266" w:rsidRPr="003C6A66">
        <w:rPr>
          <w:bCs/>
          <w:lang w:val="en-GB"/>
        </w:rPr>
        <w:t xml:space="preserve"> </w:t>
      </w:r>
      <w:r w:rsidR="00016B55" w:rsidRPr="003C6A66">
        <w:rPr>
          <w:bCs/>
          <w:lang w:val="en-GB"/>
        </w:rPr>
        <w:t>and surrounding green areas</w:t>
      </w:r>
      <w:r w:rsidR="00E93266" w:rsidRPr="003C6A66">
        <w:rPr>
          <w:bCs/>
          <w:lang w:val="en-GB"/>
        </w:rPr>
        <w:t>,</w:t>
      </w:r>
      <w:r>
        <w:rPr>
          <w:bCs/>
          <w:lang w:val="en-GB"/>
        </w:rPr>
        <w:t xml:space="preserve"> both</w:t>
      </w:r>
      <w:r w:rsidR="001014C8" w:rsidRPr="003C6A66">
        <w:rPr>
          <w:bCs/>
          <w:lang w:val="en-GB"/>
        </w:rPr>
        <w:t xml:space="preserve"> </w:t>
      </w:r>
      <w:r w:rsidR="00F33E85" w:rsidRPr="003C6A66">
        <w:rPr>
          <w:bCs/>
          <w:lang w:val="en-GB"/>
        </w:rPr>
        <w:t>calculated</w:t>
      </w:r>
      <w:r w:rsidR="002B09E5" w:rsidRPr="003C6A66">
        <w:rPr>
          <w:bCs/>
          <w:lang w:val="en-GB"/>
        </w:rPr>
        <w:t xml:space="preserve"> </w:t>
      </w:r>
      <w:r w:rsidR="00496086" w:rsidRPr="003C6A66">
        <w:rPr>
          <w:bCs/>
          <w:lang w:val="en-GB"/>
        </w:rPr>
        <w:t>within 300</w:t>
      </w:r>
      <w:r w:rsidR="00BF79D0">
        <w:rPr>
          <w:bCs/>
          <w:lang w:val="en-GB"/>
        </w:rPr>
        <w:t xml:space="preserve"> </w:t>
      </w:r>
      <w:r w:rsidR="00496086" w:rsidRPr="003C6A66">
        <w:rPr>
          <w:bCs/>
          <w:lang w:val="en-GB"/>
        </w:rPr>
        <w:t>m, 500</w:t>
      </w:r>
      <w:r w:rsidR="00BF79D0">
        <w:rPr>
          <w:bCs/>
          <w:lang w:val="en-GB"/>
        </w:rPr>
        <w:t xml:space="preserve"> </w:t>
      </w:r>
      <w:r w:rsidR="00496086" w:rsidRPr="003C6A66">
        <w:rPr>
          <w:bCs/>
          <w:lang w:val="en-GB"/>
        </w:rPr>
        <w:t>m</w:t>
      </w:r>
      <w:r w:rsidR="0047613D">
        <w:rPr>
          <w:bCs/>
          <w:lang w:val="en-GB"/>
        </w:rPr>
        <w:t>,</w:t>
      </w:r>
      <w:r w:rsidR="00496086" w:rsidRPr="003C6A66">
        <w:rPr>
          <w:bCs/>
          <w:lang w:val="en-GB"/>
        </w:rPr>
        <w:t xml:space="preserve"> and 1,000</w:t>
      </w:r>
      <w:r w:rsidR="00BF79D0">
        <w:rPr>
          <w:bCs/>
          <w:lang w:val="en-GB"/>
        </w:rPr>
        <w:t xml:space="preserve"> </w:t>
      </w:r>
      <w:r w:rsidR="00496086" w:rsidRPr="003C6A66">
        <w:rPr>
          <w:bCs/>
          <w:lang w:val="en-GB"/>
        </w:rPr>
        <w:t xml:space="preserve">m </w:t>
      </w:r>
      <w:r w:rsidR="0063648F" w:rsidRPr="003C6A66">
        <w:rPr>
          <w:bCs/>
          <w:lang w:val="en-GB"/>
        </w:rPr>
        <w:t>Euclidean</w:t>
      </w:r>
      <w:r w:rsidR="000C7C9B" w:rsidRPr="003C6A66">
        <w:rPr>
          <w:bCs/>
          <w:lang w:val="en-GB"/>
        </w:rPr>
        <w:t xml:space="preserve"> circular</w:t>
      </w:r>
      <w:r w:rsidR="0063648F" w:rsidRPr="003C6A66">
        <w:rPr>
          <w:bCs/>
          <w:lang w:val="en-GB"/>
        </w:rPr>
        <w:t xml:space="preserve"> </w:t>
      </w:r>
      <w:r w:rsidR="00910ABD" w:rsidRPr="003C6A66">
        <w:rPr>
          <w:bCs/>
          <w:lang w:val="en-GB"/>
        </w:rPr>
        <w:t>buffers</w:t>
      </w:r>
      <w:r>
        <w:rPr>
          <w:bCs/>
          <w:lang w:val="en-GB"/>
        </w:rPr>
        <w:t xml:space="preserve"> </w:t>
      </w:r>
      <w:r w:rsidRPr="003C6A66">
        <w:rPr>
          <w:bCs/>
          <w:lang w:val="en-GB"/>
        </w:rPr>
        <w:t>around the</w:t>
      </w:r>
      <w:r w:rsidR="00BF79D0">
        <w:rPr>
          <w:bCs/>
          <w:lang w:val="en-GB"/>
        </w:rPr>
        <w:t xml:space="preserve"> </w:t>
      </w:r>
      <w:r w:rsidR="00BF79D0" w:rsidRPr="00F20926">
        <w:rPr>
          <w:bCs/>
          <w:lang w:val="en-GB"/>
        </w:rPr>
        <w:t>geocoded</w:t>
      </w:r>
      <w:r w:rsidRPr="003C6A66">
        <w:rPr>
          <w:bCs/>
          <w:lang w:val="en-GB"/>
        </w:rPr>
        <w:t xml:space="preserve"> residential address</w:t>
      </w:r>
      <w:r w:rsidR="00BF79D0">
        <w:rPr>
          <w:bCs/>
          <w:lang w:val="en-GB"/>
        </w:rPr>
        <w:t xml:space="preserve"> </w:t>
      </w:r>
      <w:r w:rsidR="00BF79D0" w:rsidRPr="00F20926">
        <w:rPr>
          <w:bCs/>
          <w:lang w:val="en-GB"/>
        </w:rPr>
        <w:t xml:space="preserve">of each </w:t>
      </w:r>
      <w:r w:rsidR="004A1E54" w:rsidRPr="00F20926">
        <w:rPr>
          <w:bCs/>
          <w:lang w:val="en-GB"/>
        </w:rPr>
        <w:t>person</w:t>
      </w:r>
      <w:r w:rsidR="00BF79D0" w:rsidRPr="00F20926">
        <w:rPr>
          <w:bCs/>
          <w:lang w:val="en-GB"/>
        </w:rPr>
        <w:t xml:space="preserve"> in the census</w:t>
      </w:r>
      <w:r w:rsidR="00B04FB7" w:rsidRPr="003C6A66">
        <w:rPr>
          <w:bCs/>
          <w:lang w:val="en-GB"/>
        </w:rPr>
        <w:t>.</w:t>
      </w:r>
      <w:r w:rsidR="00724208" w:rsidRPr="003C6A66">
        <w:rPr>
          <w:bCs/>
          <w:lang w:val="en-GB"/>
        </w:rPr>
        <w:t xml:space="preserve"> </w:t>
      </w:r>
      <w:r w:rsidR="00540879" w:rsidRPr="003C6A66">
        <w:rPr>
          <w:bCs/>
          <w:lang w:val="en-GB"/>
        </w:rPr>
        <w:t xml:space="preserve">A description of the obtention of both indicators </w:t>
      </w:r>
      <w:r w:rsidR="00D96597" w:rsidRPr="003C6A66">
        <w:rPr>
          <w:bCs/>
          <w:lang w:val="en-GB"/>
        </w:rPr>
        <w:t xml:space="preserve">has been </w:t>
      </w:r>
      <w:r w:rsidR="004244A6" w:rsidRPr="003C6A66">
        <w:rPr>
          <w:bCs/>
          <w:lang w:val="en-GB"/>
        </w:rPr>
        <w:t xml:space="preserve">detailed </w:t>
      </w:r>
      <w:r w:rsidR="00540879" w:rsidRPr="003C6A66">
        <w:rPr>
          <w:bCs/>
          <w:lang w:val="en-GB"/>
        </w:rPr>
        <w:t xml:space="preserve">elsewhere </w:t>
      </w:r>
      <w:r w:rsidR="00540879" w:rsidRPr="003C6A66">
        <w:rPr>
          <w:bCs/>
          <w:lang w:val="en-GB"/>
        </w:rPr>
        <w:fldChar w:fldCharType="begin" w:fldLock="1"/>
      </w:r>
      <w:r w:rsidR="00525CEF">
        <w:rPr>
          <w:bCs/>
          <w:lang w:val="en-GB"/>
        </w:rPr>
        <w:instrText>ADDIN CSL_CITATION {"citationItems":[{"id":"ITEM-1","itemData":{"DOI":"https://doi.org/10.1016/j.envint.2020.106365","ISSN":"0160-4120","abstract":"Background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International","id":"ITEM-1","issued":{"date-parts":[["2021"]]},"page":"106365","title":"Residing in urban areas with higher green space is associated with lower mortality risk: A census-based cohort study with ten years of follow-up","type":"article-journal","volume":"148"},"uris":["http://www.mendeley.com/documents/?uuid=0c494c14-c951-40e8-811e-08967e2b217f"]}],"mendeley":{"formattedCitation":"(Bauwelinck et al., 2021)","plainTextFormattedCitation":"(Bauwelinck et al., 2021)","previouslyFormattedCitation":"(Bauwelinck et al., 2021)"},"properties":{"noteIndex":0},"schema":"https://github.com/citation-style-language/schema/raw/master/csl-citation.json"}</w:instrText>
      </w:r>
      <w:r w:rsidR="00540879" w:rsidRPr="003C6A66">
        <w:rPr>
          <w:bCs/>
          <w:lang w:val="en-GB"/>
        </w:rPr>
        <w:fldChar w:fldCharType="separate"/>
      </w:r>
      <w:r w:rsidR="00D10DDE" w:rsidRPr="00D10DDE">
        <w:rPr>
          <w:bCs/>
          <w:noProof/>
          <w:lang w:val="en-GB"/>
        </w:rPr>
        <w:t>(Bauwelinck et al., 2021)</w:t>
      </w:r>
      <w:r w:rsidR="00540879" w:rsidRPr="003C6A66">
        <w:rPr>
          <w:bCs/>
          <w:lang w:val="en-GB"/>
        </w:rPr>
        <w:fldChar w:fldCharType="end"/>
      </w:r>
      <w:r w:rsidR="00540879" w:rsidRPr="003C6A66">
        <w:rPr>
          <w:bCs/>
          <w:lang w:val="en-GB"/>
        </w:rPr>
        <w:t xml:space="preserve">. In brief, </w:t>
      </w:r>
      <w:r w:rsidR="00B35037" w:rsidRPr="003C6A66">
        <w:rPr>
          <w:b/>
          <w:lang w:val="en-GB"/>
        </w:rPr>
        <w:t>surrounding greenness</w:t>
      </w:r>
      <w:r w:rsidR="00B35037" w:rsidRPr="003C6A66">
        <w:rPr>
          <w:bCs/>
          <w:lang w:val="en-GB"/>
        </w:rPr>
        <w:t xml:space="preserve"> was </w:t>
      </w:r>
      <w:r w:rsidR="002D58D4">
        <w:rPr>
          <w:bCs/>
          <w:lang w:val="en-GB"/>
        </w:rPr>
        <w:t>measured</w:t>
      </w:r>
      <w:r w:rsidR="002D58D4" w:rsidRPr="003C6A66">
        <w:rPr>
          <w:bCs/>
          <w:lang w:val="en-GB"/>
        </w:rPr>
        <w:t xml:space="preserve"> </w:t>
      </w:r>
      <w:r w:rsidR="00B35037" w:rsidRPr="003C6A66">
        <w:rPr>
          <w:bCs/>
          <w:lang w:val="en-GB"/>
        </w:rPr>
        <w:t>using the Normalized Difference Vegetation</w:t>
      </w:r>
      <w:r w:rsidR="00B10A85" w:rsidRPr="003C6A66">
        <w:rPr>
          <w:bCs/>
          <w:lang w:val="en-GB"/>
        </w:rPr>
        <w:t xml:space="preserve"> Index</w:t>
      </w:r>
      <w:r w:rsidR="00F33E85" w:rsidRPr="003C6A66">
        <w:rPr>
          <w:bCs/>
          <w:lang w:val="en-GB"/>
        </w:rPr>
        <w:t xml:space="preserve"> </w:t>
      </w:r>
      <w:r w:rsidR="00B10A85" w:rsidRPr="003C6A66">
        <w:rPr>
          <w:bCs/>
          <w:lang w:val="en-GB"/>
        </w:rPr>
        <w:t>(</w:t>
      </w:r>
      <w:r w:rsidR="00F33E85" w:rsidRPr="003C6A66">
        <w:rPr>
          <w:bCs/>
          <w:lang w:val="en-GB"/>
        </w:rPr>
        <w:t>NDVI</w:t>
      </w:r>
      <w:r w:rsidR="00B10A85" w:rsidRPr="003C6A66">
        <w:rPr>
          <w:bCs/>
          <w:lang w:val="en-GB"/>
        </w:rPr>
        <w:t>)</w:t>
      </w:r>
      <w:r w:rsidR="0091523E" w:rsidRPr="003C6A66">
        <w:rPr>
          <w:bCs/>
          <w:lang w:val="en-GB"/>
        </w:rPr>
        <w:t>,</w:t>
      </w:r>
      <w:r w:rsidR="00BC7C8E" w:rsidRPr="003C6A66">
        <w:rPr>
          <w:bCs/>
          <w:lang w:val="en-GB"/>
        </w:rPr>
        <w:t xml:space="preserve"> </w:t>
      </w:r>
      <w:r w:rsidR="00F33E85" w:rsidRPr="003C6A66">
        <w:rPr>
          <w:bCs/>
          <w:lang w:val="en-GB"/>
        </w:rPr>
        <w:t>a</w:t>
      </w:r>
      <w:r w:rsidR="00A44FC8" w:rsidRPr="003C6A66">
        <w:rPr>
          <w:bCs/>
          <w:lang w:val="en-GB"/>
        </w:rPr>
        <w:t xml:space="preserve">n indicator of </w:t>
      </w:r>
      <w:r w:rsidR="00F37192" w:rsidRPr="003C6A66">
        <w:rPr>
          <w:bCs/>
          <w:lang w:val="en-GB"/>
        </w:rPr>
        <w:t>vegetation density</w:t>
      </w:r>
      <w:r w:rsidR="00505105" w:rsidRPr="003C6A66">
        <w:rPr>
          <w:bCs/>
          <w:lang w:val="en-GB"/>
        </w:rPr>
        <w:t xml:space="preserve"> obtained through remote </w:t>
      </w:r>
      <w:r w:rsidR="00895FE0" w:rsidRPr="003C6A66">
        <w:rPr>
          <w:bCs/>
          <w:lang w:val="en-GB"/>
        </w:rPr>
        <w:t>sensing,</w:t>
      </w:r>
      <w:r w:rsidR="001767B6" w:rsidRPr="003C6A66">
        <w:rPr>
          <w:bCs/>
          <w:lang w:val="en-GB"/>
        </w:rPr>
        <w:t xml:space="preserve"> rang</w:t>
      </w:r>
      <w:r w:rsidR="001A41FC">
        <w:rPr>
          <w:bCs/>
          <w:lang w:val="en-GB"/>
        </w:rPr>
        <w:t>ing</w:t>
      </w:r>
      <w:r w:rsidR="001767B6" w:rsidRPr="003C6A66">
        <w:rPr>
          <w:bCs/>
          <w:lang w:val="en-GB"/>
        </w:rPr>
        <w:t xml:space="preserve"> from -1 to +1 (maximum green)</w:t>
      </w:r>
      <w:r w:rsidR="008E3B2F" w:rsidRPr="003C6A66">
        <w:rPr>
          <w:bCs/>
          <w:lang w:val="en-GB"/>
        </w:rPr>
        <w:t xml:space="preserve">. </w:t>
      </w:r>
      <w:r w:rsidR="00FF6BC8" w:rsidRPr="003C6A66">
        <w:rPr>
          <w:bCs/>
          <w:lang w:val="en-GB"/>
        </w:rPr>
        <w:t>A</w:t>
      </w:r>
      <w:r w:rsidR="00EB157F" w:rsidRPr="003C6A66">
        <w:rPr>
          <w:bCs/>
          <w:lang w:val="en-GB"/>
        </w:rPr>
        <w:t xml:space="preserve">tmospherically corrected images </w:t>
      </w:r>
      <w:r w:rsidR="006D1282" w:rsidRPr="003C6A66">
        <w:rPr>
          <w:bCs/>
          <w:lang w:val="en-GB"/>
        </w:rPr>
        <w:t xml:space="preserve">from the Landsat 5 </w:t>
      </w:r>
      <w:r w:rsidR="00FF6BC8" w:rsidRPr="003C6A66">
        <w:rPr>
          <w:bCs/>
          <w:lang w:val="en-GB"/>
        </w:rPr>
        <w:t xml:space="preserve">were retrieved </w:t>
      </w:r>
      <w:r w:rsidR="00EB157F" w:rsidRPr="003C6A66">
        <w:rPr>
          <w:bCs/>
          <w:lang w:val="en-GB"/>
        </w:rPr>
        <w:t>for the summer period of 2006, with a 30x30m</w:t>
      </w:r>
      <w:r w:rsidR="005C76CF" w:rsidRPr="003C6A66">
        <w:rPr>
          <w:bCs/>
          <w:lang w:val="en-GB"/>
        </w:rPr>
        <w:t xml:space="preserve"> resolution</w:t>
      </w:r>
      <w:r w:rsidR="00EB157F" w:rsidRPr="003C6A66">
        <w:rPr>
          <w:bCs/>
          <w:lang w:val="en-GB"/>
        </w:rPr>
        <w:t>. Surrounding greenness capture</w:t>
      </w:r>
      <w:r w:rsidR="004F5171">
        <w:rPr>
          <w:bCs/>
          <w:lang w:val="en-GB"/>
        </w:rPr>
        <w:t>d</w:t>
      </w:r>
      <w:r w:rsidR="00EB157F" w:rsidRPr="003C6A66">
        <w:rPr>
          <w:bCs/>
          <w:lang w:val="en-GB"/>
        </w:rPr>
        <w:t xml:space="preserve"> the mean NDVI value around the residential address</w:t>
      </w:r>
      <w:r w:rsidR="0091523E" w:rsidRPr="007F482A">
        <w:rPr>
          <w:bCs/>
          <w:lang w:val="en-GB"/>
        </w:rPr>
        <w:t>.</w:t>
      </w:r>
      <w:r w:rsidR="00BE2053" w:rsidRPr="00BE2053">
        <w:rPr>
          <w:bCs/>
          <w:lang w:val="en-GB"/>
        </w:rPr>
        <w:t xml:space="preserve"> </w:t>
      </w:r>
      <w:r w:rsidR="006019F6">
        <w:rPr>
          <w:bCs/>
          <w:lang w:val="en-GB"/>
        </w:rPr>
        <w:t>N</w:t>
      </w:r>
      <w:r w:rsidR="00BE2053" w:rsidRPr="003C6A66">
        <w:rPr>
          <w:bCs/>
          <w:lang w:val="en-GB"/>
        </w:rPr>
        <w:t xml:space="preserve">egative </w:t>
      </w:r>
      <w:r w:rsidR="006019F6">
        <w:rPr>
          <w:bCs/>
          <w:lang w:val="en-GB"/>
        </w:rPr>
        <w:t xml:space="preserve">NDVI </w:t>
      </w:r>
      <w:r w:rsidR="00BE2053" w:rsidRPr="003C6A66">
        <w:rPr>
          <w:bCs/>
          <w:lang w:val="en-GB"/>
        </w:rPr>
        <w:t>values represent water surfaces</w:t>
      </w:r>
      <w:r w:rsidR="00BE2053">
        <w:rPr>
          <w:bCs/>
          <w:lang w:val="en-GB"/>
        </w:rPr>
        <w:t xml:space="preserve"> and </w:t>
      </w:r>
      <w:r w:rsidR="006019F6" w:rsidRPr="003C6A66">
        <w:rPr>
          <w:bCs/>
          <w:lang w:val="en-GB"/>
        </w:rPr>
        <w:t xml:space="preserve">were </w:t>
      </w:r>
      <w:r w:rsidR="00BE2053" w:rsidRPr="003C6A66">
        <w:rPr>
          <w:bCs/>
          <w:lang w:val="en-GB"/>
        </w:rPr>
        <w:t xml:space="preserve">set to zero (i.e., no green) </w:t>
      </w:r>
      <w:r w:rsidR="00BE2053" w:rsidRPr="003C6A66">
        <w:rPr>
          <w:bCs/>
          <w:lang w:val="en-GB"/>
        </w:rPr>
        <w:fldChar w:fldCharType="begin" w:fldLock="1"/>
      </w:r>
      <w:r w:rsidR="00525CEF">
        <w:rPr>
          <w:bCs/>
          <w:lang w:val="en-GB"/>
        </w:rPr>
        <w:instrText>ADDIN CSL_CITATION {"citationItems":[{"id":"ITEM-1","itemData":{"DOI":"https://doi.org/10.1016/j.envint.2020.106365","ISSN":"0160-4120","abstract":"Background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International","id":"ITEM-1","issued":{"date-parts":[["2021"]]},"page":"106365","title":"Residing in urban areas with higher green space is associated with lower mortality risk: A census-based cohort study with ten years of follow-up","type":"article-journal","volume":"148"},"uris":["http://www.mendeley.com/documents/?uuid=0c494c14-c951-40e8-811e-08967e2b217f"]}],"mendeley":{"formattedCitation":"(Bauwelinck et al., 2021)","plainTextFormattedCitation":"(Bauwelinck et al., 2021)","previouslyFormattedCitation":"(Bauwelinck et al., 2021)"},"properties":{"noteIndex":0},"schema":"https://github.com/citation-style-language/schema/raw/master/csl-citation.json"}</w:instrText>
      </w:r>
      <w:r w:rsidR="00BE2053" w:rsidRPr="003C6A66">
        <w:rPr>
          <w:bCs/>
          <w:lang w:val="en-GB"/>
        </w:rPr>
        <w:fldChar w:fldCharType="separate"/>
      </w:r>
      <w:r w:rsidR="00D10DDE" w:rsidRPr="00D10DDE">
        <w:rPr>
          <w:bCs/>
          <w:noProof/>
          <w:lang w:val="en-GB"/>
        </w:rPr>
        <w:t>(Bauwelinck et al., 2021)</w:t>
      </w:r>
      <w:r w:rsidR="00BE2053" w:rsidRPr="003C6A66">
        <w:rPr>
          <w:bCs/>
          <w:lang w:val="en-GB"/>
        </w:rPr>
        <w:fldChar w:fldCharType="end"/>
      </w:r>
      <w:r w:rsidR="00BE2053" w:rsidRPr="003C6A66">
        <w:rPr>
          <w:bCs/>
          <w:lang w:val="en-GB"/>
        </w:rPr>
        <w:t xml:space="preserve">. </w:t>
      </w:r>
      <w:r w:rsidR="003D4CD8" w:rsidRPr="003C6A66">
        <w:rPr>
          <w:b/>
          <w:lang w:val="en-GB"/>
        </w:rPr>
        <w:t>Surrounding green areas</w:t>
      </w:r>
      <w:r w:rsidR="00277614" w:rsidRPr="003C6A66">
        <w:rPr>
          <w:bCs/>
          <w:lang w:val="en-GB"/>
        </w:rPr>
        <w:t xml:space="preserve"> we</w:t>
      </w:r>
      <w:r w:rsidR="003D4CD8" w:rsidRPr="003C6A66">
        <w:rPr>
          <w:bCs/>
          <w:lang w:val="en-GB"/>
        </w:rPr>
        <w:t>re</w:t>
      </w:r>
      <w:r w:rsidR="00277614" w:rsidRPr="003C6A66">
        <w:rPr>
          <w:bCs/>
          <w:lang w:val="en-GB"/>
        </w:rPr>
        <w:t xml:space="preserve"> </w:t>
      </w:r>
      <w:r w:rsidR="003D4CD8" w:rsidRPr="003C6A66">
        <w:rPr>
          <w:bCs/>
          <w:lang w:val="en-GB"/>
        </w:rPr>
        <w:t>assessed using the Urban Atlas</w:t>
      </w:r>
      <w:r w:rsidR="00384770" w:rsidRPr="003C6A66">
        <w:rPr>
          <w:bCs/>
          <w:lang w:val="en-GB"/>
        </w:rPr>
        <w:t xml:space="preserve"> 2006</w:t>
      </w:r>
      <w:r w:rsidR="007955A9">
        <w:rPr>
          <w:bCs/>
          <w:lang w:val="en-GB"/>
        </w:rPr>
        <w:t xml:space="preserve"> (UA)</w:t>
      </w:r>
      <w:r w:rsidR="003D4CD8" w:rsidRPr="003C6A66">
        <w:rPr>
          <w:bCs/>
          <w:lang w:val="en-GB"/>
        </w:rPr>
        <w:t>, a land-use classification map</w:t>
      </w:r>
      <w:r w:rsidR="00550A4E" w:rsidRPr="003C6A66">
        <w:rPr>
          <w:bCs/>
          <w:lang w:val="en-GB"/>
        </w:rPr>
        <w:t xml:space="preserve"> </w:t>
      </w:r>
      <w:r w:rsidR="009573AB" w:rsidRPr="003C6A66">
        <w:rPr>
          <w:bCs/>
          <w:lang w:val="en-GB"/>
        </w:rPr>
        <w:t xml:space="preserve">of </w:t>
      </w:r>
      <w:r w:rsidR="008D1C11" w:rsidRPr="003C6A66">
        <w:rPr>
          <w:bCs/>
          <w:lang w:val="en-GB"/>
        </w:rPr>
        <w:t>European</w:t>
      </w:r>
      <w:r w:rsidR="007255DF" w:rsidRPr="003C6A66">
        <w:rPr>
          <w:bCs/>
          <w:lang w:val="en-GB"/>
        </w:rPr>
        <w:t xml:space="preserve"> urban areas</w:t>
      </w:r>
      <w:r w:rsidR="0052521E" w:rsidRPr="003C6A66">
        <w:rPr>
          <w:bCs/>
          <w:lang w:val="en-GB"/>
        </w:rPr>
        <w:t xml:space="preserve">, with a minimum mapping unit of </w:t>
      </w:r>
      <w:r w:rsidR="00D76462" w:rsidRPr="003C6A66">
        <w:rPr>
          <w:bCs/>
          <w:lang w:val="en-GB"/>
        </w:rPr>
        <w:t>25x25m</w:t>
      </w:r>
      <w:r w:rsidR="007255DF" w:rsidRPr="003C6A66">
        <w:rPr>
          <w:bCs/>
          <w:lang w:val="en-GB"/>
        </w:rPr>
        <w:t xml:space="preserve"> </w:t>
      </w:r>
      <w:r w:rsidR="007255DF" w:rsidRPr="003C6A66">
        <w:rPr>
          <w:bCs/>
          <w:lang w:val="en-GB"/>
        </w:rPr>
        <w:fldChar w:fldCharType="begin" w:fldLock="1"/>
      </w:r>
      <w:r w:rsidR="00525CEF">
        <w:rPr>
          <w:bCs/>
          <w:lang w:val="en-GB"/>
        </w:rPr>
        <w:instrText>ADDIN CSL_CITATION {"citationItems":[{"id":"ITEM-1","itemData":{"author":[{"dropping-particle":"","family":"European Environmental Agency","given":"","non-dropping-particle":"","parse-names":false,"suffix":""}],"id":"ITEM-1","issued":{"date-parts":[["2011"]]},"publisher-place":"Brussels, Belgium","title":"Mapping Guide for a European Urban Atlas","type":"report"},"uris":["http://www.mendeley.com/documents/?uuid=8859b0d2-7d7c-4f5f-8d43-230eb3abb025"]}],"mendeley":{"formattedCitation":"(European Environmental Agency, 2011)","plainTextFormattedCitation":"(European Environmental Agency, 2011)","previouslyFormattedCitation":"(European Environmental Agency, 2011)"},"properties":{"noteIndex":0},"schema":"https://github.com/citation-style-language/schema/raw/master/csl-citation.json"}</w:instrText>
      </w:r>
      <w:r w:rsidR="007255DF" w:rsidRPr="003C6A66">
        <w:rPr>
          <w:bCs/>
          <w:lang w:val="en-GB"/>
        </w:rPr>
        <w:fldChar w:fldCharType="separate"/>
      </w:r>
      <w:r w:rsidR="00D10DDE" w:rsidRPr="00D10DDE">
        <w:rPr>
          <w:bCs/>
          <w:noProof/>
          <w:lang w:val="en-GB"/>
        </w:rPr>
        <w:t>(European Environmental Agency, 2011)</w:t>
      </w:r>
      <w:r w:rsidR="007255DF" w:rsidRPr="003C6A66">
        <w:rPr>
          <w:bCs/>
          <w:lang w:val="en-GB"/>
        </w:rPr>
        <w:fldChar w:fldCharType="end"/>
      </w:r>
      <w:r w:rsidR="009573AB" w:rsidRPr="003C6A66">
        <w:rPr>
          <w:bCs/>
          <w:lang w:val="en-GB"/>
        </w:rPr>
        <w:t>.</w:t>
      </w:r>
      <w:r w:rsidR="002E76A1" w:rsidRPr="003C6A66">
        <w:rPr>
          <w:bCs/>
          <w:lang w:val="en-GB"/>
        </w:rPr>
        <w:t xml:space="preserve"> </w:t>
      </w:r>
      <w:r w:rsidR="001979E5" w:rsidRPr="003C6A66">
        <w:rPr>
          <w:bCs/>
          <w:lang w:val="en-GB"/>
        </w:rPr>
        <w:t xml:space="preserve">Surrounding green areas </w:t>
      </w:r>
      <w:r w:rsidR="00C74262" w:rsidRPr="003C6A66">
        <w:rPr>
          <w:bCs/>
          <w:lang w:val="en-GB"/>
        </w:rPr>
        <w:t>was approximated as</w:t>
      </w:r>
      <w:r w:rsidR="00242955" w:rsidRPr="003C6A66">
        <w:rPr>
          <w:bCs/>
          <w:lang w:val="en-GB"/>
        </w:rPr>
        <w:t xml:space="preserve"> the percentage of </w:t>
      </w:r>
      <w:r w:rsidR="00B852BD">
        <w:rPr>
          <w:bCs/>
          <w:lang w:val="en-GB"/>
        </w:rPr>
        <w:t xml:space="preserve">surface </w:t>
      </w:r>
      <w:r w:rsidR="009E172E" w:rsidRPr="003C6A66">
        <w:rPr>
          <w:bCs/>
          <w:lang w:val="en-GB"/>
        </w:rPr>
        <w:t xml:space="preserve">around the </w:t>
      </w:r>
      <w:r w:rsidR="0016327A" w:rsidRPr="003C6A66">
        <w:rPr>
          <w:bCs/>
          <w:lang w:val="en-GB"/>
        </w:rPr>
        <w:t>residen</w:t>
      </w:r>
      <w:r w:rsidR="00B852BD">
        <w:rPr>
          <w:bCs/>
          <w:lang w:val="en-GB"/>
        </w:rPr>
        <w:t>tial address covered by green areas</w:t>
      </w:r>
      <w:r w:rsidR="00384770" w:rsidRPr="003C6A66">
        <w:rPr>
          <w:bCs/>
          <w:lang w:val="en-GB"/>
        </w:rPr>
        <w:t>.</w:t>
      </w:r>
      <w:r w:rsidR="00A0496C" w:rsidRPr="003C6A66">
        <w:rPr>
          <w:bCs/>
          <w:lang w:val="en-GB"/>
        </w:rPr>
        <w:t xml:space="preserve"> Furthermore, we used </w:t>
      </w:r>
      <w:r w:rsidR="00D97C00" w:rsidRPr="003C6A66">
        <w:rPr>
          <w:b/>
          <w:lang w:val="en-GB"/>
        </w:rPr>
        <w:t xml:space="preserve">perceived </w:t>
      </w:r>
      <w:r w:rsidR="00AD4FA0" w:rsidRPr="003C6A66">
        <w:rPr>
          <w:b/>
          <w:lang w:val="en-GB"/>
        </w:rPr>
        <w:t>neighbourhood</w:t>
      </w:r>
      <w:r w:rsidR="00D97C00" w:rsidRPr="003C6A66">
        <w:rPr>
          <w:b/>
          <w:lang w:val="en-GB"/>
        </w:rPr>
        <w:t xml:space="preserve"> greenness</w:t>
      </w:r>
      <w:r w:rsidR="00D97C00" w:rsidRPr="003C6A66">
        <w:rPr>
          <w:bCs/>
          <w:lang w:val="en-GB"/>
        </w:rPr>
        <w:t xml:space="preserve"> as </w:t>
      </w:r>
      <w:r w:rsidR="00A0496C" w:rsidRPr="003C6A66">
        <w:rPr>
          <w:bCs/>
          <w:lang w:val="en-GB"/>
        </w:rPr>
        <w:t xml:space="preserve">a subjective indicator </w:t>
      </w:r>
      <w:r w:rsidR="00D97C00" w:rsidRPr="003C6A66">
        <w:rPr>
          <w:bCs/>
          <w:lang w:val="en-GB"/>
        </w:rPr>
        <w:t>of exposure to residential green spaces</w:t>
      </w:r>
      <w:r w:rsidR="00137AB7" w:rsidRPr="003C6A66">
        <w:rPr>
          <w:bCs/>
          <w:lang w:val="en-GB"/>
        </w:rPr>
        <w:t xml:space="preserve"> at the level of the </w:t>
      </w:r>
      <w:r w:rsidR="00137AB7" w:rsidRPr="0038404E">
        <w:rPr>
          <w:bCs/>
          <w:lang w:val="en-GB"/>
        </w:rPr>
        <w:t xml:space="preserve">census tract (i.e., the smallest geographical unit </w:t>
      </w:r>
      <w:r w:rsidR="008E4FFB" w:rsidRPr="0038404E">
        <w:rPr>
          <w:bCs/>
          <w:lang w:val="en-GB"/>
        </w:rPr>
        <w:t xml:space="preserve">in </w:t>
      </w:r>
      <w:r w:rsidR="008E4FFB" w:rsidRPr="0038404E">
        <w:rPr>
          <w:bCs/>
          <w:lang w:val="en-GB"/>
        </w:rPr>
        <w:lastRenderedPageBreak/>
        <w:t>Belgium</w:t>
      </w:r>
      <w:r w:rsidR="00DC12CA" w:rsidRPr="0038404E">
        <w:rPr>
          <w:bCs/>
          <w:lang w:val="en-GB"/>
        </w:rPr>
        <w:t xml:space="preserve">, </w:t>
      </w:r>
      <w:r w:rsidR="008E4FFB" w:rsidRPr="0038404E">
        <w:rPr>
          <w:bCs/>
          <w:lang w:val="en-GB"/>
        </w:rPr>
        <w:t>capturing</w:t>
      </w:r>
      <w:r w:rsidR="00DC12CA" w:rsidRPr="0038404E">
        <w:rPr>
          <w:bCs/>
          <w:lang w:val="en-GB"/>
        </w:rPr>
        <w:t xml:space="preserve"> neighbourhoods</w:t>
      </w:r>
      <w:r w:rsidR="00137AB7" w:rsidRPr="0038404E">
        <w:rPr>
          <w:bCs/>
          <w:lang w:val="en-GB"/>
        </w:rPr>
        <w:t>)</w:t>
      </w:r>
      <w:r w:rsidR="00D97C00" w:rsidRPr="0038404E">
        <w:rPr>
          <w:bCs/>
          <w:lang w:val="en-GB"/>
        </w:rPr>
        <w:t>.</w:t>
      </w:r>
      <w:r w:rsidR="00D76462" w:rsidRPr="003C6A66">
        <w:rPr>
          <w:bCs/>
          <w:lang w:val="en-GB"/>
        </w:rPr>
        <w:t xml:space="preserve"> This indicator was obtained by calculating the percentage of households in each </w:t>
      </w:r>
      <w:r w:rsidR="002B2879" w:rsidRPr="003C6A66">
        <w:rPr>
          <w:bCs/>
          <w:lang w:val="en-GB"/>
        </w:rPr>
        <w:t>census tract</w:t>
      </w:r>
      <w:r w:rsidR="00865AB3" w:rsidRPr="003C6A66">
        <w:rPr>
          <w:bCs/>
          <w:lang w:val="en-GB"/>
        </w:rPr>
        <w:t xml:space="preserve"> </w:t>
      </w:r>
      <w:r w:rsidR="00D76462" w:rsidRPr="003C6A66">
        <w:rPr>
          <w:bCs/>
          <w:lang w:val="en-GB"/>
        </w:rPr>
        <w:t xml:space="preserve">reporting a </w:t>
      </w:r>
      <w:r w:rsidR="00AB7502" w:rsidRPr="003C6A66">
        <w:rPr>
          <w:bCs/>
          <w:lang w:val="en-GB"/>
        </w:rPr>
        <w:t>v</w:t>
      </w:r>
      <w:r w:rsidR="00D76462" w:rsidRPr="003C6A66">
        <w:rPr>
          <w:bCs/>
          <w:lang w:val="en-GB"/>
        </w:rPr>
        <w:t xml:space="preserve">ery good provision of green spaces in their </w:t>
      </w:r>
      <w:r w:rsidR="00AD4FA0" w:rsidRPr="003C6A66">
        <w:rPr>
          <w:bCs/>
          <w:lang w:val="en-GB"/>
        </w:rPr>
        <w:t>neighbourhoods</w:t>
      </w:r>
      <w:r w:rsidR="00AB7502" w:rsidRPr="003C6A66">
        <w:rPr>
          <w:bCs/>
          <w:lang w:val="en-GB"/>
        </w:rPr>
        <w:t xml:space="preserve"> in the 2001 Belgian census</w:t>
      </w:r>
      <w:r w:rsidR="00D76462" w:rsidRPr="003C6A66">
        <w:rPr>
          <w:bCs/>
          <w:lang w:val="en-GB"/>
        </w:rPr>
        <w:t>.</w:t>
      </w:r>
      <w:r w:rsidR="00E87146" w:rsidRPr="00F20926">
        <w:rPr>
          <w:bCs/>
          <w:lang w:val="en-GB"/>
        </w:rPr>
        <w:t xml:space="preserve"> Contrary to the objective indicators, which were linked individually to the residential address, the subjective indicator was aggregated at the level of the census tract.</w:t>
      </w:r>
      <w:r w:rsidR="00465AAA" w:rsidRPr="00F20926">
        <w:rPr>
          <w:bCs/>
          <w:lang w:val="en-GB"/>
        </w:rPr>
        <w:t xml:space="preserve"> Such approximation was made to avoid bias from reverse causation (i.e., healthier individuals reporting better greenspace provision).</w:t>
      </w:r>
    </w:p>
    <w:p w14:paraId="133A98E1" w14:textId="49175CAD" w:rsidR="00242ED5" w:rsidRPr="00EE58BB" w:rsidRDefault="00242ED5" w:rsidP="00EE58BB">
      <w:pPr>
        <w:pStyle w:val="ListParagraph"/>
        <w:numPr>
          <w:ilvl w:val="1"/>
          <w:numId w:val="3"/>
        </w:numPr>
        <w:spacing w:line="276" w:lineRule="auto"/>
        <w:jc w:val="both"/>
        <w:rPr>
          <w:b/>
          <w:lang w:val="en-GB"/>
        </w:rPr>
      </w:pPr>
      <w:r w:rsidRPr="00EE58BB">
        <w:rPr>
          <w:b/>
          <w:lang w:val="en-GB"/>
        </w:rPr>
        <w:t>Ambient air pollution</w:t>
      </w:r>
    </w:p>
    <w:p w14:paraId="5FD2F91C" w14:textId="63BFE1F4" w:rsidR="00242ED5" w:rsidRPr="003C6A66" w:rsidRDefault="00363BAB" w:rsidP="00801558">
      <w:pPr>
        <w:spacing w:line="276" w:lineRule="auto"/>
        <w:jc w:val="both"/>
        <w:rPr>
          <w:bCs/>
          <w:lang w:val="en-GB"/>
        </w:rPr>
      </w:pPr>
      <w:r w:rsidRPr="003C6A66">
        <w:rPr>
          <w:bCs/>
          <w:lang w:val="en-GB"/>
        </w:rPr>
        <w:t>Data on outdoor air pollution concentrations</w:t>
      </w:r>
      <w:r w:rsidR="003D162A" w:rsidRPr="003C6A66">
        <w:rPr>
          <w:bCs/>
          <w:lang w:val="en-GB"/>
        </w:rPr>
        <w:t xml:space="preserve"> at high spatial resolution (25</w:t>
      </w:r>
      <w:r w:rsidR="002B739C" w:rsidRPr="003C6A66">
        <w:rPr>
          <w:bCs/>
          <w:lang w:val="en-GB"/>
        </w:rPr>
        <w:t>x25m)</w:t>
      </w:r>
      <w:r w:rsidRPr="003C6A66">
        <w:rPr>
          <w:bCs/>
          <w:lang w:val="en-GB"/>
        </w:rPr>
        <w:t xml:space="preserve"> were </w:t>
      </w:r>
      <w:r w:rsidR="00037863" w:rsidRPr="003C6A66">
        <w:rPr>
          <w:bCs/>
          <w:lang w:val="en-GB"/>
        </w:rPr>
        <w:t>provided by</w:t>
      </w:r>
      <w:r w:rsidRPr="003C6A66">
        <w:rPr>
          <w:bCs/>
          <w:lang w:val="en-GB"/>
        </w:rPr>
        <w:t xml:space="preserve"> the Belgian Interregional Environment Agency (IRCEL-CELINE) (</w:t>
      </w:r>
      <w:hyperlink r:id="rId12" w:history="1">
        <w:r w:rsidR="00944003" w:rsidRPr="003C6A66">
          <w:rPr>
            <w:rStyle w:val="Hyperlink"/>
            <w:bCs/>
            <w:lang w:val="en-GB"/>
          </w:rPr>
          <w:t>https://irceline.be/en</w:t>
        </w:r>
      </w:hyperlink>
      <w:r w:rsidR="00944003" w:rsidRPr="003C6A66">
        <w:rPr>
          <w:bCs/>
          <w:lang w:val="en-GB"/>
        </w:rPr>
        <w:t xml:space="preserve">). </w:t>
      </w:r>
      <w:r w:rsidR="00D53415">
        <w:rPr>
          <w:bCs/>
          <w:lang w:val="en-GB"/>
        </w:rPr>
        <w:t>F</w:t>
      </w:r>
      <w:r w:rsidR="00EA2585" w:rsidRPr="003C6A66">
        <w:rPr>
          <w:bCs/>
          <w:lang w:val="en-GB"/>
        </w:rPr>
        <w:t>ixed</w:t>
      </w:r>
      <w:r w:rsidR="00DE6B05" w:rsidRPr="003C6A66">
        <w:rPr>
          <w:bCs/>
          <w:lang w:val="en-GB"/>
        </w:rPr>
        <w:t xml:space="preserve"> monitoring stations</w:t>
      </w:r>
      <w:r w:rsidR="00CA3144" w:rsidRPr="003C6A66">
        <w:rPr>
          <w:bCs/>
          <w:lang w:val="en-GB"/>
        </w:rPr>
        <w:t xml:space="preserve"> </w:t>
      </w:r>
      <w:r w:rsidR="00D36B0F">
        <w:rPr>
          <w:bCs/>
          <w:lang w:val="en-GB"/>
        </w:rPr>
        <w:t>constantly</w:t>
      </w:r>
      <w:r w:rsidR="00367B44">
        <w:rPr>
          <w:bCs/>
          <w:lang w:val="en-GB"/>
        </w:rPr>
        <w:t xml:space="preserve"> </w:t>
      </w:r>
      <w:r w:rsidR="0024586C">
        <w:rPr>
          <w:bCs/>
          <w:lang w:val="en-GB"/>
        </w:rPr>
        <w:t xml:space="preserve">measure </w:t>
      </w:r>
      <w:r w:rsidR="00367B44">
        <w:rPr>
          <w:bCs/>
          <w:lang w:val="en-GB"/>
        </w:rPr>
        <w:t xml:space="preserve">atmospheric concentrations </w:t>
      </w:r>
      <w:r w:rsidR="00B94F27">
        <w:rPr>
          <w:bCs/>
          <w:lang w:val="en-GB"/>
        </w:rPr>
        <w:t>of air pollutants</w:t>
      </w:r>
      <w:r w:rsidR="002C7123" w:rsidRPr="002C7123">
        <w:rPr>
          <w:bCs/>
          <w:lang w:val="en-GB"/>
        </w:rPr>
        <w:t xml:space="preserve"> </w:t>
      </w:r>
      <w:r w:rsidR="002C7123">
        <w:rPr>
          <w:bCs/>
          <w:lang w:val="en-GB"/>
        </w:rPr>
        <w:t>in Belgium</w:t>
      </w:r>
      <w:r w:rsidR="00B94F27">
        <w:rPr>
          <w:bCs/>
          <w:lang w:val="en-GB"/>
        </w:rPr>
        <w:t xml:space="preserve">, which </w:t>
      </w:r>
      <w:r w:rsidR="00CA3144" w:rsidRPr="003C6A66">
        <w:rPr>
          <w:bCs/>
          <w:lang w:val="en-GB"/>
        </w:rPr>
        <w:t xml:space="preserve">are </w:t>
      </w:r>
      <w:r w:rsidR="00712CD5">
        <w:rPr>
          <w:bCs/>
          <w:lang w:val="en-GB"/>
        </w:rPr>
        <w:t xml:space="preserve">then used </w:t>
      </w:r>
      <w:r w:rsidR="00712CD5" w:rsidRPr="00712CD5">
        <w:rPr>
          <w:bCs/>
          <w:lang w:val="en-GB"/>
        </w:rPr>
        <w:t>in spatial-temporal (kriging) interpolation models</w:t>
      </w:r>
      <w:r w:rsidR="00712CD5">
        <w:rPr>
          <w:bCs/>
          <w:lang w:val="en-GB"/>
        </w:rPr>
        <w:t xml:space="preserve"> combined with Gaussian dispersion models </w:t>
      </w:r>
      <w:r w:rsidR="007068A7" w:rsidRPr="003C6A66">
        <w:rPr>
          <w:bCs/>
          <w:lang w:val="en-GB"/>
        </w:rPr>
        <w:t>to calculate</w:t>
      </w:r>
      <w:r w:rsidR="002773B1">
        <w:rPr>
          <w:bCs/>
          <w:lang w:val="en-GB"/>
        </w:rPr>
        <w:t xml:space="preserve"> </w:t>
      </w:r>
      <w:r w:rsidR="007068A7" w:rsidRPr="003C6A66">
        <w:rPr>
          <w:bCs/>
          <w:lang w:val="en-GB"/>
        </w:rPr>
        <w:t>pollutant concentrations</w:t>
      </w:r>
      <w:r w:rsidR="00AF52C4" w:rsidRPr="003C6A66">
        <w:rPr>
          <w:bCs/>
          <w:lang w:val="en-GB"/>
        </w:rPr>
        <w:t xml:space="preserve"> in the whole </w:t>
      </w:r>
      <w:r w:rsidR="00A0598D">
        <w:rPr>
          <w:bCs/>
          <w:lang w:val="en-GB"/>
        </w:rPr>
        <w:t>country</w:t>
      </w:r>
      <w:r w:rsidR="00D36DF4">
        <w:rPr>
          <w:bCs/>
          <w:lang w:val="en-GB"/>
        </w:rPr>
        <w:t>, based on</w:t>
      </w:r>
      <w:r w:rsidR="00D95172">
        <w:rPr>
          <w:bCs/>
          <w:lang w:val="en-GB"/>
        </w:rPr>
        <w:t xml:space="preserve"> land-use data,</w:t>
      </w:r>
      <w:r w:rsidR="00D36DF4">
        <w:rPr>
          <w:bCs/>
          <w:lang w:val="en-GB"/>
        </w:rPr>
        <w:t xml:space="preserve"> traffic and industrial sources’ emissions and meteorological data</w:t>
      </w:r>
      <w:r w:rsidR="007068A7" w:rsidRPr="003C6A66">
        <w:rPr>
          <w:bCs/>
          <w:lang w:val="en-GB"/>
        </w:rPr>
        <w:t xml:space="preserve"> </w:t>
      </w:r>
      <w:r w:rsidR="0083456D">
        <w:rPr>
          <w:bCs/>
          <w:lang w:val="en-GB"/>
        </w:rPr>
        <w:fldChar w:fldCharType="begin" w:fldLock="1"/>
      </w:r>
      <w:r w:rsidR="00525CEF">
        <w:rPr>
          <w:bCs/>
          <w:lang w:val="en-GB"/>
        </w:rPr>
        <w:instrText>ADDIN CSL_CITATION {"citationItems":[{"id":"ITEM-1","itemData":{"author":[{"dropping-particle":"","family":"Lefebvre","given":"Wouter","non-dropping-particle":"","parse-names":false,"suffix":""},{"dropping-particle":"","family":"Vranckx","given":"Stijn","non-dropping-particle":"","parse-names":false,"suffix":""}],"id":"ITEM-1","issued":{"date-parts":[["2013"]]},"publisher-place":"Mol, Belgium","title":"Validation of the IFDM-model for use in urban applications: study accomplished in the framework of the ATMOSYS-project","type":"report"},"uris":["http://www.mendeley.com/documents/?uuid=4f07556d-868a-4f8b-ae93-bd0ca295464c"]},{"id":"ITEM-2","itemData":{"DOI":"10.1039/b612607n","ISSN":"1464-0325","author":[{"dropping-particle":"","family":"Hooyberghs","given":"Jef","non-dropping-particle":"","parse-names":false,"suffix":""},{"dropping-particle":"","family":"Mensink","given":"Clemens","non-dropping-particle":"","parse-names":false,"suffix":""},{"dropping-particle":"","family":"Dumont","given":"Gerwin","non-dropping-particle":"","parse-names":false,"suffix":""},{"dropping-particle":"","family":"Fierens","given":"Frans","non-dropping-particle":"","parse-names":false,"suffix":""}],"container-title":"Journal of Environmental Monitoring : JEM","id":"ITEM-2","issue":"11","issued":{"date-parts":[["2006","11"]]},"page":"1129—1135","title":"Spatial interpolation of ambient ozone concentrations from sparse monitoring points in Belgium","type":"article-journal","volume":"8"},"uris":["http://www.mendeley.com/documents/?uuid=71fca5a9-2ad5-45eb-88c3-7112d51efe7e"]}],"mendeley":{"formattedCitation":"(Hooyberghs et al., 2006; Lefebvre and Vranckx, 2013)","plainTextFormattedCitation":"(Hooyberghs et al., 2006; Lefebvre and Vranckx, 2013)","previouslyFormattedCitation":"(Hooyberghs et al., 2006; Lefebvre and Vranckx, 2013)"},"properties":{"noteIndex":0},"schema":"https://github.com/citation-style-language/schema/raw/master/csl-citation.json"}</w:instrText>
      </w:r>
      <w:r w:rsidR="0083456D">
        <w:rPr>
          <w:bCs/>
          <w:lang w:val="en-GB"/>
        </w:rPr>
        <w:fldChar w:fldCharType="separate"/>
      </w:r>
      <w:r w:rsidR="00D10DDE" w:rsidRPr="00D10DDE">
        <w:rPr>
          <w:bCs/>
          <w:noProof/>
          <w:lang w:val="en-GB"/>
        </w:rPr>
        <w:t>(Hooyberghs et al., 2006; Lefebvre and Vranckx, 2013)</w:t>
      </w:r>
      <w:r w:rsidR="0083456D">
        <w:rPr>
          <w:bCs/>
          <w:lang w:val="en-GB"/>
        </w:rPr>
        <w:fldChar w:fldCharType="end"/>
      </w:r>
      <w:r w:rsidR="00CA3144" w:rsidRPr="003C6A66">
        <w:rPr>
          <w:bCs/>
          <w:lang w:val="en-GB"/>
        </w:rPr>
        <w:t>.</w:t>
      </w:r>
      <w:r w:rsidR="005A705A" w:rsidRPr="003C6A66">
        <w:rPr>
          <w:bCs/>
          <w:lang w:val="en-GB"/>
        </w:rPr>
        <w:t xml:space="preserve"> </w:t>
      </w:r>
      <w:r w:rsidR="00944003" w:rsidRPr="003C6A66">
        <w:rPr>
          <w:bCs/>
          <w:lang w:val="en-GB"/>
        </w:rPr>
        <w:t xml:space="preserve">We </w:t>
      </w:r>
      <w:r w:rsidR="0073213B" w:rsidRPr="003C6A66">
        <w:rPr>
          <w:bCs/>
          <w:lang w:val="en-GB"/>
        </w:rPr>
        <w:t xml:space="preserve">used </w:t>
      </w:r>
      <w:r w:rsidR="00886F75" w:rsidRPr="003C6A66">
        <w:rPr>
          <w:bCs/>
          <w:lang w:val="en-GB"/>
        </w:rPr>
        <w:t>20</w:t>
      </w:r>
      <w:r w:rsidR="009D5224">
        <w:rPr>
          <w:bCs/>
          <w:lang w:val="en-GB"/>
        </w:rPr>
        <w:t>10</w:t>
      </w:r>
      <w:r w:rsidR="00886F75" w:rsidRPr="003C6A66">
        <w:rPr>
          <w:bCs/>
          <w:lang w:val="en-GB"/>
        </w:rPr>
        <w:t xml:space="preserve"> </w:t>
      </w:r>
      <w:r w:rsidR="0073213B" w:rsidRPr="003C6A66">
        <w:rPr>
          <w:bCs/>
          <w:lang w:val="en-GB"/>
        </w:rPr>
        <w:t>annual mean concentrations</w:t>
      </w:r>
      <w:r w:rsidR="00CE7E6A" w:rsidRPr="003C6A66">
        <w:rPr>
          <w:bCs/>
          <w:lang w:val="en-GB"/>
        </w:rPr>
        <w:t xml:space="preserve"> </w:t>
      </w:r>
      <w:r w:rsidR="000A2F3A" w:rsidRPr="003C6A66">
        <w:rPr>
          <w:bCs/>
          <w:lang w:val="en-GB"/>
        </w:rPr>
        <w:t>[</w:t>
      </w:r>
      <w:r w:rsidR="00CE7E6A" w:rsidRPr="003C6A66">
        <w:rPr>
          <w:bCs/>
          <w:lang w:val="en-GB"/>
        </w:rPr>
        <w:t>micrograms per cubic meter (</w:t>
      </w:r>
      <w:r w:rsidR="00CE7E6A" w:rsidRPr="003C6A66">
        <w:rPr>
          <w:bCs/>
          <w:lang w:val="en-GB"/>
        </w:rPr>
        <w:sym w:font="Symbol" w:char="F06D"/>
      </w:r>
      <w:r w:rsidR="00CE7E6A" w:rsidRPr="003C6A66">
        <w:rPr>
          <w:bCs/>
          <w:lang w:val="en-GB"/>
        </w:rPr>
        <w:t>g/m</w:t>
      </w:r>
      <w:r w:rsidR="00CE7E6A" w:rsidRPr="003C6A66">
        <w:rPr>
          <w:bCs/>
          <w:vertAlign w:val="superscript"/>
          <w:lang w:val="en-GB"/>
        </w:rPr>
        <w:t>3</w:t>
      </w:r>
      <w:r w:rsidR="00CE7E6A" w:rsidRPr="003C6A66">
        <w:rPr>
          <w:bCs/>
          <w:lang w:val="en-GB"/>
        </w:rPr>
        <w:t>)</w:t>
      </w:r>
      <w:r w:rsidR="000A2F3A" w:rsidRPr="003C6A66">
        <w:rPr>
          <w:bCs/>
          <w:lang w:val="en-GB"/>
        </w:rPr>
        <w:t>]</w:t>
      </w:r>
      <w:r w:rsidR="0073213B" w:rsidRPr="003C6A66">
        <w:rPr>
          <w:bCs/>
          <w:lang w:val="en-GB"/>
        </w:rPr>
        <w:t xml:space="preserve"> of </w:t>
      </w:r>
      <w:r w:rsidR="00185886" w:rsidRPr="003C6A66">
        <w:rPr>
          <w:bCs/>
          <w:lang w:val="en-GB"/>
        </w:rPr>
        <w:t xml:space="preserve">fine </w:t>
      </w:r>
      <w:r w:rsidR="00710D40">
        <w:rPr>
          <w:bCs/>
          <w:lang w:val="en-GB"/>
        </w:rPr>
        <w:t>and coarse particulate</w:t>
      </w:r>
      <w:r w:rsidR="0073213B" w:rsidRPr="003C6A66">
        <w:rPr>
          <w:bCs/>
          <w:lang w:val="en-GB"/>
        </w:rPr>
        <w:t xml:space="preserve"> matter</w:t>
      </w:r>
      <w:r w:rsidR="00710D40">
        <w:rPr>
          <w:bCs/>
          <w:lang w:val="en-GB"/>
        </w:rPr>
        <w:t>, with</w:t>
      </w:r>
      <w:r w:rsidR="00710D40" w:rsidRPr="00710D40">
        <w:rPr>
          <w:bCs/>
          <w:lang w:val="en-GB"/>
        </w:rPr>
        <w:t xml:space="preserve"> </w:t>
      </w:r>
      <w:r w:rsidR="00710D40" w:rsidRPr="003C6A66">
        <w:rPr>
          <w:bCs/>
          <w:lang w:val="en-GB"/>
        </w:rPr>
        <w:t>an aerodynamic diameter</w:t>
      </w:r>
      <w:r w:rsidR="00710D40">
        <w:rPr>
          <w:bCs/>
          <w:lang w:val="en-GB"/>
        </w:rPr>
        <w:t xml:space="preserve"> of</w:t>
      </w:r>
      <w:r w:rsidR="00710D40" w:rsidRPr="003C6A66">
        <w:rPr>
          <w:bCs/>
          <w:lang w:val="en-GB"/>
        </w:rPr>
        <w:t xml:space="preserve"> ≤2.5</w:t>
      </w:r>
      <w:r w:rsidR="00710D40">
        <w:rPr>
          <w:bCs/>
          <w:lang w:val="en-GB"/>
        </w:rPr>
        <w:t xml:space="preserve"> and 2.5-10</w:t>
      </w:r>
      <w:r w:rsidR="00710D40" w:rsidRPr="003C6A66">
        <w:rPr>
          <w:bCs/>
          <w:lang w:val="en-GB"/>
        </w:rPr>
        <w:t xml:space="preserve"> micrometres (</w:t>
      </w:r>
      <w:r w:rsidR="00710D40" w:rsidRPr="003C6A66">
        <w:rPr>
          <w:bCs/>
          <w:lang w:val="en-GB"/>
        </w:rPr>
        <w:sym w:font="Symbol" w:char="F06D"/>
      </w:r>
      <w:r w:rsidR="00710D40" w:rsidRPr="003C6A66">
        <w:rPr>
          <w:bCs/>
          <w:lang w:val="en-GB"/>
        </w:rPr>
        <w:t>m)</w:t>
      </w:r>
      <w:r w:rsidR="00710D40">
        <w:rPr>
          <w:bCs/>
          <w:lang w:val="en-GB"/>
        </w:rPr>
        <w:t>, respectively</w:t>
      </w:r>
      <w:r w:rsidR="0073213B" w:rsidRPr="003C6A66">
        <w:rPr>
          <w:bCs/>
          <w:lang w:val="en-GB"/>
        </w:rPr>
        <w:t xml:space="preserve"> </w:t>
      </w:r>
      <w:r w:rsidR="00710D40">
        <w:rPr>
          <w:bCs/>
          <w:lang w:val="en-GB"/>
        </w:rPr>
        <w:t>(</w:t>
      </w:r>
      <w:r w:rsidR="00F530E5" w:rsidRPr="003C6A66">
        <w:rPr>
          <w:bCs/>
          <w:lang w:val="en-GB"/>
        </w:rPr>
        <w:t>PM</w:t>
      </w:r>
      <w:r w:rsidR="00F530E5" w:rsidRPr="003C6A66">
        <w:rPr>
          <w:bCs/>
          <w:vertAlign w:val="subscript"/>
          <w:lang w:val="en-GB"/>
        </w:rPr>
        <w:t>2.5</w:t>
      </w:r>
      <w:r w:rsidR="00710D40">
        <w:rPr>
          <w:bCs/>
          <w:lang w:val="en-GB"/>
        </w:rPr>
        <w:t xml:space="preserve"> and PM</w:t>
      </w:r>
      <w:r w:rsidR="00710D40" w:rsidRPr="00760846">
        <w:rPr>
          <w:bCs/>
          <w:vertAlign w:val="subscript"/>
          <w:lang w:val="en-GB"/>
        </w:rPr>
        <w:t>10</w:t>
      </w:r>
      <w:r w:rsidR="00710D40">
        <w:rPr>
          <w:bCs/>
          <w:lang w:val="en-GB"/>
        </w:rPr>
        <w:t>)</w:t>
      </w:r>
      <w:r w:rsidR="00F530E5" w:rsidRPr="003C6A66">
        <w:rPr>
          <w:bCs/>
          <w:lang w:val="en-GB"/>
        </w:rPr>
        <w:t>,</w:t>
      </w:r>
      <w:r w:rsidR="00CE7E6A" w:rsidRPr="003C6A66">
        <w:rPr>
          <w:bCs/>
          <w:lang w:val="en-GB"/>
        </w:rPr>
        <w:t xml:space="preserve"> and nitrogen dioxide (NO</w:t>
      </w:r>
      <w:r w:rsidR="00CE7E6A" w:rsidRPr="003C6A66">
        <w:rPr>
          <w:bCs/>
          <w:vertAlign w:val="subscript"/>
          <w:lang w:val="en-GB"/>
        </w:rPr>
        <w:t>2</w:t>
      </w:r>
      <w:r w:rsidR="00CE7E6A" w:rsidRPr="003C6A66">
        <w:rPr>
          <w:bCs/>
          <w:lang w:val="en-GB"/>
        </w:rPr>
        <w:t>)</w:t>
      </w:r>
      <w:r w:rsidR="001204C9">
        <w:rPr>
          <w:bCs/>
          <w:lang w:val="en-GB"/>
        </w:rPr>
        <w:t xml:space="preserve"> </w:t>
      </w:r>
      <w:r w:rsidR="008D653C" w:rsidRPr="003C6A66">
        <w:rPr>
          <w:bCs/>
          <w:lang w:val="en-GB"/>
        </w:rPr>
        <w:t xml:space="preserve">linked to the </w:t>
      </w:r>
      <w:r w:rsidR="00817164" w:rsidRPr="003C6A66">
        <w:rPr>
          <w:bCs/>
          <w:lang w:val="en-GB"/>
        </w:rPr>
        <w:t xml:space="preserve">baseline </w:t>
      </w:r>
      <w:r w:rsidR="008D653C" w:rsidRPr="003C6A66">
        <w:rPr>
          <w:bCs/>
          <w:lang w:val="en-GB"/>
        </w:rPr>
        <w:t>residential address.</w:t>
      </w:r>
    </w:p>
    <w:p w14:paraId="331BB3A5" w14:textId="050556B9" w:rsidR="00964881" w:rsidRPr="00EE58BB" w:rsidRDefault="00964881" w:rsidP="00EE58BB">
      <w:pPr>
        <w:pStyle w:val="ListParagraph"/>
        <w:numPr>
          <w:ilvl w:val="1"/>
          <w:numId w:val="3"/>
        </w:numPr>
        <w:spacing w:line="276" w:lineRule="auto"/>
        <w:jc w:val="both"/>
        <w:rPr>
          <w:b/>
          <w:lang w:val="en-GB"/>
        </w:rPr>
      </w:pPr>
      <w:r w:rsidRPr="00EE58BB">
        <w:rPr>
          <w:b/>
          <w:lang w:val="en-GB"/>
        </w:rPr>
        <w:t>Covariates</w:t>
      </w:r>
    </w:p>
    <w:p w14:paraId="20019DDC" w14:textId="3BD520E2" w:rsidR="00964881" w:rsidRPr="003C6A66" w:rsidRDefault="000052A9" w:rsidP="00801558">
      <w:pPr>
        <w:spacing w:line="276" w:lineRule="auto"/>
        <w:jc w:val="both"/>
        <w:rPr>
          <w:bCs/>
          <w:lang w:val="en-GB"/>
        </w:rPr>
      </w:pPr>
      <w:r w:rsidRPr="003C6A66">
        <w:rPr>
          <w:bCs/>
          <w:lang w:val="en-GB"/>
        </w:rPr>
        <w:t>Information on</w:t>
      </w:r>
      <w:r w:rsidR="003039CE" w:rsidRPr="003C6A66">
        <w:rPr>
          <w:bCs/>
          <w:lang w:val="en-GB"/>
        </w:rPr>
        <w:t xml:space="preserve"> socio</w:t>
      </w:r>
      <w:r w:rsidR="00BE5575" w:rsidRPr="003C6A66">
        <w:rPr>
          <w:bCs/>
          <w:lang w:val="en-GB"/>
        </w:rPr>
        <w:t>demographic</w:t>
      </w:r>
      <w:r w:rsidRPr="003C6A66">
        <w:rPr>
          <w:bCs/>
          <w:lang w:val="en-GB"/>
        </w:rPr>
        <w:t xml:space="preserve"> and socioeconomic characteristics at baseline were obtained from the 2001 Belgian census. We included</w:t>
      </w:r>
      <w:r w:rsidR="00BE5575" w:rsidRPr="003C6A66">
        <w:rPr>
          <w:bCs/>
          <w:lang w:val="en-GB"/>
        </w:rPr>
        <w:t xml:space="preserve"> age, gender, migrant background</w:t>
      </w:r>
      <w:r w:rsidRPr="003C6A66">
        <w:rPr>
          <w:bCs/>
          <w:lang w:val="en-GB"/>
        </w:rPr>
        <w:t xml:space="preserve"> [</w:t>
      </w:r>
      <w:r w:rsidR="00C922AF">
        <w:rPr>
          <w:bCs/>
          <w:lang w:val="en-GB"/>
        </w:rPr>
        <w:t>capturing the family history of migration</w:t>
      </w:r>
      <w:r w:rsidR="00DA1D94">
        <w:rPr>
          <w:bCs/>
          <w:lang w:val="en-GB"/>
        </w:rPr>
        <w:t xml:space="preserve">, classified according to the income of </w:t>
      </w:r>
      <w:r w:rsidR="00306D8D">
        <w:rPr>
          <w:bCs/>
          <w:lang w:val="en-GB"/>
        </w:rPr>
        <w:t>the country of origin</w:t>
      </w:r>
      <w:r w:rsidR="00637991">
        <w:rPr>
          <w:bCs/>
          <w:lang w:val="en-GB"/>
        </w:rPr>
        <w:t xml:space="preserve"> </w:t>
      </w:r>
      <w:r w:rsidR="00637991">
        <w:rPr>
          <w:bCs/>
          <w:lang w:val="en-GB"/>
        </w:rPr>
        <w:fldChar w:fldCharType="begin" w:fldLock="1"/>
      </w:r>
      <w:r w:rsidR="00202E02">
        <w:rPr>
          <w:bCs/>
          <w:lang w:val="en-GB"/>
        </w:rPr>
        <w:instrText>ADDIN CSL_CITATION {"citationItems":[{"id":"ITEM-1","itemData":{"URL":"https://datatopics.worldbank.org/world-development-indicators/the-world-by-income-and-region.html","accessed":{"date-parts":[["2022","4","1"]]},"author":[{"dropping-particle":"","family":"World Bank","given":"","non-dropping-particle":"","parse-names":false,"suffix":""}],"id":"ITEM-1","issued":{"date-parts":[["2020"]]},"title":"The World by Income and Region","type":"webpage"},"uris":["http://www.mendeley.com/documents/?uuid=b851b417-f7ef-40e8-a1b3-ed0bbde4599a"]}],"mendeley":{"formattedCitation":"(World Bank, 2020)","plainTextFormattedCitation":"(World Bank, 2020)","previouslyFormattedCitation":"(World Bank, 2020)"},"properties":{"noteIndex":0},"schema":"https://github.com/citation-style-language/schema/raw/master/csl-citation.json"}</w:instrText>
      </w:r>
      <w:r w:rsidR="00637991">
        <w:rPr>
          <w:bCs/>
          <w:lang w:val="en-GB"/>
        </w:rPr>
        <w:fldChar w:fldCharType="separate"/>
      </w:r>
      <w:r w:rsidR="00637991" w:rsidRPr="00637991">
        <w:rPr>
          <w:bCs/>
          <w:noProof/>
          <w:lang w:val="en-GB"/>
        </w:rPr>
        <w:t>(World Bank, 2020)</w:t>
      </w:r>
      <w:r w:rsidR="00637991">
        <w:rPr>
          <w:bCs/>
          <w:lang w:val="en-GB"/>
        </w:rPr>
        <w:fldChar w:fldCharType="end"/>
      </w:r>
      <w:r w:rsidR="00077A33">
        <w:rPr>
          <w:bCs/>
          <w:lang w:val="en-GB"/>
        </w:rPr>
        <w:t>:</w:t>
      </w:r>
      <w:r w:rsidR="00C922AF">
        <w:rPr>
          <w:bCs/>
          <w:lang w:val="en-GB"/>
        </w:rPr>
        <w:t xml:space="preserve"> </w:t>
      </w:r>
      <w:r w:rsidRPr="003C6A66">
        <w:rPr>
          <w:bCs/>
          <w:lang w:val="en-GB"/>
        </w:rPr>
        <w:t>originating from Belgium, other high-income country (HIC) or low and middle-income countries (LMIC)]</w:t>
      </w:r>
      <w:r w:rsidR="00BE5575" w:rsidRPr="003C6A66">
        <w:rPr>
          <w:bCs/>
          <w:lang w:val="en-GB"/>
        </w:rPr>
        <w:t>,</w:t>
      </w:r>
      <w:r w:rsidR="004A64FD" w:rsidRPr="003C6A66">
        <w:rPr>
          <w:bCs/>
          <w:lang w:val="en-GB"/>
        </w:rPr>
        <w:t xml:space="preserve"> educational level (tertiary education</w:t>
      </w:r>
      <w:r w:rsidR="00A550C2" w:rsidRPr="003C6A66">
        <w:rPr>
          <w:bCs/>
          <w:lang w:val="en-GB"/>
        </w:rPr>
        <w:t>,</w:t>
      </w:r>
      <w:r w:rsidR="004A64FD" w:rsidRPr="003C6A66">
        <w:rPr>
          <w:bCs/>
          <w:lang w:val="en-GB"/>
        </w:rPr>
        <w:t xml:space="preserve"> higher secondary education</w:t>
      </w:r>
      <w:r w:rsidR="00A550C2" w:rsidRPr="003C6A66">
        <w:rPr>
          <w:bCs/>
          <w:lang w:val="en-GB"/>
        </w:rPr>
        <w:t>,</w:t>
      </w:r>
      <w:r w:rsidR="004A64FD" w:rsidRPr="003C6A66">
        <w:rPr>
          <w:bCs/>
          <w:lang w:val="en-GB"/>
        </w:rPr>
        <w:t xml:space="preserve"> lower secondary education</w:t>
      </w:r>
      <w:r w:rsidR="00A550C2" w:rsidRPr="003C6A66">
        <w:rPr>
          <w:bCs/>
          <w:lang w:val="en-GB"/>
        </w:rPr>
        <w:t>,</w:t>
      </w:r>
      <w:r w:rsidR="004A64FD" w:rsidRPr="003C6A66">
        <w:rPr>
          <w:bCs/>
          <w:lang w:val="en-GB"/>
        </w:rPr>
        <w:t xml:space="preserve"> and primary/no formal education), housing tenure (owner or tenant)</w:t>
      </w:r>
      <w:r w:rsidR="00BE5575" w:rsidRPr="003C6A66">
        <w:rPr>
          <w:bCs/>
          <w:lang w:val="en-GB"/>
        </w:rPr>
        <w:t xml:space="preserve"> and </w:t>
      </w:r>
      <w:r w:rsidR="005E39D6" w:rsidRPr="003C6A66">
        <w:rPr>
          <w:bCs/>
          <w:lang w:val="en-GB"/>
        </w:rPr>
        <w:t>household living arrangement</w:t>
      </w:r>
      <w:r w:rsidR="004A64FD" w:rsidRPr="003C6A66">
        <w:rPr>
          <w:bCs/>
          <w:lang w:val="en-GB"/>
        </w:rPr>
        <w:t xml:space="preserve"> </w:t>
      </w:r>
      <w:r w:rsidR="00EE47AD" w:rsidRPr="003C6A66">
        <w:rPr>
          <w:bCs/>
          <w:lang w:val="en-GB"/>
        </w:rPr>
        <w:t>[</w:t>
      </w:r>
      <w:r w:rsidR="004A64FD" w:rsidRPr="003C6A66">
        <w:rPr>
          <w:bCs/>
          <w:lang w:val="en-GB"/>
        </w:rPr>
        <w:t>cohabiting with the partner or spouse</w:t>
      </w:r>
      <w:r w:rsidR="00A550C2" w:rsidRPr="003C6A66">
        <w:rPr>
          <w:bCs/>
          <w:lang w:val="en-GB"/>
        </w:rPr>
        <w:t>,</w:t>
      </w:r>
      <w:r w:rsidR="004A64FD" w:rsidRPr="003C6A66">
        <w:rPr>
          <w:bCs/>
          <w:lang w:val="en-GB"/>
        </w:rPr>
        <w:t xml:space="preserve"> </w:t>
      </w:r>
      <w:r w:rsidR="001916CA" w:rsidRPr="003C6A66">
        <w:rPr>
          <w:bCs/>
          <w:lang w:val="en-GB"/>
        </w:rPr>
        <w:t xml:space="preserve">single, </w:t>
      </w:r>
      <w:r w:rsidR="004A64FD" w:rsidRPr="003C6A66">
        <w:rPr>
          <w:bCs/>
          <w:lang w:val="en-GB"/>
        </w:rPr>
        <w:t>and other</w:t>
      </w:r>
      <w:r w:rsidR="00EE47AD" w:rsidRPr="003C6A66">
        <w:rPr>
          <w:bCs/>
          <w:lang w:val="en-GB"/>
        </w:rPr>
        <w:t xml:space="preserve"> (e.g., multigenerational households)]</w:t>
      </w:r>
      <w:r w:rsidR="005E39D6" w:rsidRPr="003C6A66">
        <w:rPr>
          <w:bCs/>
          <w:lang w:val="en-GB"/>
        </w:rPr>
        <w:t>.</w:t>
      </w:r>
    </w:p>
    <w:p w14:paraId="4B769C20" w14:textId="6C7F407E" w:rsidR="00AD6FEE" w:rsidRPr="003C6A66" w:rsidRDefault="003D0F87" w:rsidP="00801558">
      <w:pPr>
        <w:spacing w:line="276" w:lineRule="auto"/>
        <w:jc w:val="both"/>
        <w:rPr>
          <w:bCs/>
          <w:lang w:val="en-GB"/>
        </w:rPr>
      </w:pPr>
      <w:r w:rsidRPr="003C6A66">
        <w:rPr>
          <w:bCs/>
          <w:lang w:val="en-GB"/>
        </w:rPr>
        <w:t xml:space="preserve">We </w:t>
      </w:r>
      <w:r w:rsidR="001B5A9B" w:rsidRPr="003C6A66">
        <w:rPr>
          <w:bCs/>
          <w:lang w:val="en-GB"/>
        </w:rPr>
        <w:t xml:space="preserve">used several </w:t>
      </w:r>
      <w:r w:rsidR="001916CA" w:rsidRPr="003C6A66">
        <w:rPr>
          <w:bCs/>
          <w:lang w:val="en-GB"/>
        </w:rPr>
        <w:t xml:space="preserve">socioeconomic </w:t>
      </w:r>
      <w:r w:rsidR="00645B3A" w:rsidRPr="003C6A66">
        <w:rPr>
          <w:bCs/>
          <w:lang w:val="en-GB"/>
        </w:rPr>
        <w:t xml:space="preserve">indicators </w:t>
      </w:r>
      <w:r w:rsidR="001916CA" w:rsidRPr="003C6A66">
        <w:rPr>
          <w:bCs/>
          <w:lang w:val="en-GB"/>
        </w:rPr>
        <w:t xml:space="preserve">at the level of the census tract </w:t>
      </w:r>
      <w:r w:rsidR="00645B3A" w:rsidRPr="003C6A66">
        <w:rPr>
          <w:bCs/>
          <w:lang w:val="en-GB"/>
        </w:rPr>
        <w:t xml:space="preserve">to create an index of </w:t>
      </w:r>
      <w:r w:rsidR="004D3764" w:rsidRPr="003C6A66">
        <w:rPr>
          <w:bCs/>
          <w:lang w:val="en-GB"/>
        </w:rPr>
        <w:t>area-level</w:t>
      </w:r>
      <w:r w:rsidR="001916CA" w:rsidRPr="003C6A66">
        <w:rPr>
          <w:bCs/>
          <w:lang w:val="en-GB"/>
        </w:rPr>
        <w:t xml:space="preserve"> </w:t>
      </w:r>
      <w:r w:rsidR="00645B3A" w:rsidRPr="003C6A66">
        <w:rPr>
          <w:bCs/>
          <w:lang w:val="en-GB"/>
        </w:rPr>
        <w:t>socioeconomic position (SEP</w:t>
      </w:r>
      <w:r w:rsidR="00AC728E" w:rsidRPr="00F20926">
        <w:rPr>
          <w:color w:val="000000"/>
          <w:lang w:val="en-GB"/>
        </w:rPr>
        <w:t xml:space="preserve">), since prior studies have observed that contextual sociodemographic variables may confound the associations between green spaces and health beyond the effect of individual SEP </w:t>
      </w:r>
      <w:r w:rsidR="00AC728E" w:rsidRPr="00F20926">
        <w:rPr>
          <w:color w:val="000000"/>
          <w:lang w:val="en-GB"/>
        </w:rPr>
        <w:fldChar w:fldCharType="begin" w:fldLock="1"/>
      </w:r>
      <w:r w:rsidR="00AC728E" w:rsidRPr="00F20926">
        <w:rPr>
          <w:color w:val="000000"/>
          <w:lang w:val="en-GB"/>
        </w:rPr>
        <w:instrText>ADDIN CSL_CITATION {"citationItems":[{"id":"ITEM-1","itemData":{"DOI":"https://doi.org/10.1016/j.envint.2020.106365","ISSN":"0160-4120","abstract":"Background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International","id":"ITEM-1","issued":{"date-parts":[["2021"]]},"page":"106365","title":"Residing in urban areas with higher green space is associated with lower mortality risk: A census-based cohort study with ten years of follow-up","type":"article-journal","volume":"148"},"uris":["http://www.mendeley.com/documents/?uuid=0c494c14-c951-40e8-811e-08967e2b217f"]},{"id":"ITEM-2","itemData":{"DOI":"https://doi.org/10.1016/j.scitotenv.2022.153445","ISSN":"0048-9697","abstract":"Background Residing close to green spaces might reduce diabetes mellitus (DM) risk; however, evidence for diabetes mortality is limited. Moreover, individual and neighbourhood social factors may determine DM risk. Exposure to green spaces may also depend on socioeconomic position (SEP). This study examined the associations between residential greenness and diabetes-related mortality, and the role of the social environment in these associations. Methods We used the 2001 Belgian census linked to mortality register data for the period 2001–2014. We included individuals aged 40–79 years old and residing in the five largest Belgian urban areas at baseline. Exposure to residential greenness was assessed with surrounding greenness using the Normalized Difference Vegetation Index (NDVI) within 500-m of residence (objective indicator), and perceived neighbourhood greenness (subjective indicator). We conducted mixed-effects Cox proportional hazards models to obtain hazard ratios (HR) for diabetes-related mortality per interquartile range (IQR) increments of residential greenness. We assessed effect modification by social factors through stratification. Results From 2,309,236 individuals included at baseline, 1.2% died from DM during follow-up. Both residential greenness indicators were inversely associated with diabetes-related mortality after adjustment for individual social factors. After controlling for neighbourhood SEP, the beneficial association with surrounding greenness disappeared [HR 1.02 (95%CI:0.99,1.06)], but persisted with perceived neighbourhood greenness [HR 0.93 (95%CI:0.91,0.95)]. After stratification the inverse associations with perceived neighbourhood greenness were strongest for women, the lowest educated, and individuals residing in least deprived neighbourhoods. Conclusions Our findings suggest that an overall positive perception of neighbourhood green spaces reduces independently the risk of diabetes-related mortality, regardless of the neighbourhood social environment. Nevertheless, neighbourhood SEP may be a strong confounder in the associations between diabetes-related mortality and greenness indicators derived from satellite images. Perception factors not captured by objective measurements of green spaces are potentially relevant in the association with DM, especially among disadvantaged groups.","author":[{"dropping-particle":"","family":"Rodriguez-Loureiro","given":"Lucía","non-dropping-particle":"","parse-names":false,"suffix":""},{"dropping-particle":"","family":"Casas","given":"Lidia","non-dropping-particle":"","parse-names":false,"suffix":""},{"dropping-particle":"","family":"Bauwelinck","given":"Mariska","non-dropping-particle":"","parse-names":false,"suffix":""},{"dropping-particle":"","family":"Lefebvre","given":"Wouter","non-dropping-particle":"","parse-names":false,"suffix":""},{"dropping-particle":"","family":"Vanpoucke","given":"Charlotte","non-dropping-particle":"","parse-names":false,"suffix":""},{"dropping-particle":"","family":"Gadeyne","given":"Sylvie","non-dropping-particle":"","parse-names":false,"suffix":""}],"container-title":"Science of The Total Environment","id":"ITEM-2","issued":{"date-parts":[["2022"]]},"page":"153445","title":"Long-term exposure to objective and perceived residential greenness and diabetes mortality: A census-based cohort study","type":"article-journal"},"uris":["http://www.mendeley.com/documents/?uuid=09f9564f-02ba-4aa3-b6eb-a2b2d5eb8f96"]}],"mendeley":{"formattedCitation":"(Bauwelinck et al., 2021; Rodriguez-Loureiro et al., 2022)","plainTextFormattedCitation":"(Bauwelinck et al., 2021; Rodriguez-Loureiro et al., 2022)","previouslyFormattedCitation":"(Bauwelinck et al., 2021; Rodriguez-Loureiro et al., 2022)"},"properties":{"noteIndex":0},"schema":"https://github.com/citation-style-language/schema/raw/master/csl-citation.json"}</w:instrText>
      </w:r>
      <w:r w:rsidR="00AC728E" w:rsidRPr="00F20926">
        <w:rPr>
          <w:color w:val="000000"/>
          <w:lang w:val="en-GB"/>
        </w:rPr>
        <w:fldChar w:fldCharType="separate"/>
      </w:r>
      <w:r w:rsidR="00AC728E" w:rsidRPr="00F20926">
        <w:rPr>
          <w:noProof/>
          <w:color w:val="000000"/>
          <w:lang w:val="en-GB"/>
        </w:rPr>
        <w:t>(Bauwelinck et al., 2021; Rodriguez-Loureiro et al., 2022)</w:t>
      </w:r>
      <w:r w:rsidR="00AC728E" w:rsidRPr="00F20926">
        <w:rPr>
          <w:color w:val="000000"/>
          <w:lang w:val="en-GB"/>
        </w:rPr>
        <w:fldChar w:fldCharType="end"/>
      </w:r>
      <w:r w:rsidR="00AC728E" w:rsidRPr="00F20926">
        <w:rPr>
          <w:color w:val="000000"/>
          <w:lang w:val="en-GB"/>
        </w:rPr>
        <w:t>.</w:t>
      </w:r>
      <w:r w:rsidR="00645B3A" w:rsidRPr="003C6A66">
        <w:rPr>
          <w:bCs/>
          <w:lang w:val="en-GB"/>
        </w:rPr>
        <w:t xml:space="preserve"> From the 2001 Belgian census we obtained </w:t>
      </w:r>
      <w:r w:rsidR="00A71860" w:rsidRPr="003C6A66">
        <w:rPr>
          <w:bCs/>
          <w:lang w:val="en-GB"/>
        </w:rPr>
        <w:t xml:space="preserve">the unemployment rate, the percentage of residents originating from low and middle-income countries and the percentage of houses </w:t>
      </w:r>
      <w:r w:rsidR="00DD5D27" w:rsidRPr="003C6A66">
        <w:rPr>
          <w:bCs/>
          <w:lang w:val="en-GB"/>
        </w:rPr>
        <w:t xml:space="preserve">with very low comfort (i.e., without a toilet </w:t>
      </w:r>
      <w:r w:rsidR="00AE1752">
        <w:rPr>
          <w:bCs/>
          <w:lang w:val="en-GB"/>
        </w:rPr>
        <w:t xml:space="preserve">inside the house </w:t>
      </w:r>
      <w:r w:rsidR="00DD5D27" w:rsidRPr="003C6A66">
        <w:rPr>
          <w:bCs/>
          <w:lang w:val="en-GB"/>
        </w:rPr>
        <w:t>or a bathroom).</w:t>
      </w:r>
      <w:r w:rsidR="00A71860" w:rsidRPr="003C6A66">
        <w:rPr>
          <w:bCs/>
          <w:lang w:val="en-GB"/>
        </w:rPr>
        <w:t xml:space="preserve"> </w:t>
      </w:r>
      <w:r w:rsidR="00DD5D27" w:rsidRPr="003C6A66">
        <w:rPr>
          <w:bCs/>
          <w:lang w:val="en-GB"/>
        </w:rPr>
        <w:t xml:space="preserve">We also obtained the median net taxable income </w:t>
      </w:r>
      <w:r w:rsidR="00CF0D67" w:rsidRPr="003C6A66">
        <w:rPr>
          <w:bCs/>
          <w:lang w:val="en-GB"/>
        </w:rPr>
        <w:t xml:space="preserve">for 2005 </w:t>
      </w:r>
      <w:r w:rsidR="00DD5D27" w:rsidRPr="003C6A66">
        <w:rPr>
          <w:bCs/>
          <w:lang w:val="en-GB"/>
        </w:rPr>
        <w:t xml:space="preserve">from Statistics Belgium </w:t>
      </w:r>
      <w:r w:rsidR="00152598" w:rsidRPr="003C6A66">
        <w:rPr>
          <w:bCs/>
          <w:lang w:val="en-GB"/>
        </w:rPr>
        <w:t>(</w:t>
      </w:r>
      <w:hyperlink r:id="rId13" w:history="1">
        <w:r w:rsidR="00152598" w:rsidRPr="003C6A66">
          <w:rPr>
            <w:rStyle w:val="Hyperlink"/>
            <w:bCs/>
            <w:lang w:val="en-GB"/>
          </w:rPr>
          <w:t>https://statbel.fgov.be/en</w:t>
        </w:r>
      </w:hyperlink>
      <w:r w:rsidR="00152598" w:rsidRPr="003C6A66">
        <w:rPr>
          <w:bCs/>
          <w:lang w:val="en-GB"/>
        </w:rPr>
        <w:t xml:space="preserve">). </w:t>
      </w:r>
      <w:r w:rsidR="005E4D7F" w:rsidRPr="003C6A66">
        <w:rPr>
          <w:bCs/>
          <w:lang w:val="en-GB"/>
        </w:rPr>
        <w:t>These four indicators were combined using principal component analysis (PCA)</w:t>
      </w:r>
      <w:r w:rsidR="000E2394" w:rsidRPr="003C6A66">
        <w:rPr>
          <w:bCs/>
          <w:lang w:val="en-GB"/>
        </w:rPr>
        <w:t xml:space="preserve"> applying varimax rotation</w:t>
      </w:r>
      <w:r w:rsidR="005E4D7F" w:rsidRPr="003C6A66">
        <w:rPr>
          <w:bCs/>
          <w:lang w:val="en-GB"/>
        </w:rPr>
        <w:t xml:space="preserve"> </w:t>
      </w:r>
      <w:r w:rsidR="0032780E" w:rsidRPr="003C6A66">
        <w:rPr>
          <w:bCs/>
          <w:lang w:val="en-GB"/>
        </w:rPr>
        <w:t xml:space="preserve">to calculate an index of </w:t>
      </w:r>
      <w:r w:rsidR="00045F18" w:rsidRPr="003C6A66">
        <w:rPr>
          <w:bCs/>
          <w:lang w:val="en-GB"/>
        </w:rPr>
        <w:t>neighbourhood</w:t>
      </w:r>
      <w:r w:rsidR="0032780E" w:rsidRPr="003C6A66">
        <w:rPr>
          <w:bCs/>
          <w:lang w:val="en-GB"/>
        </w:rPr>
        <w:t xml:space="preserve"> SEP</w:t>
      </w:r>
      <w:r w:rsidR="00BE0564" w:rsidRPr="003C6A66">
        <w:rPr>
          <w:bCs/>
          <w:lang w:val="en-GB"/>
        </w:rPr>
        <w:t>,</w:t>
      </w:r>
      <w:r w:rsidR="003E7FD0" w:rsidRPr="003C6A66">
        <w:rPr>
          <w:bCs/>
          <w:lang w:val="en-GB"/>
        </w:rPr>
        <w:t xml:space="preserve"> </w:t>
      </w:r>
      <w:r w:rsidR="002919D2" w:rsidRPr="003C6A66">
        <w:rPr>
          <w:bCs/>
          <w:lang w:val="en-GB"/>
        </w:rPr>
        <w:t>captur</w:t>
      </w:r>
      <w:r w:rsidR="00BE0564" w:rsidRPr="003C6A66">
        <w:rPr>
          <w:bCs/>
          <w:lang w:val="en-GB"/>
        </w:rPr>
        <w:t>ing</w:t>
      </w:r>
      <w:r w:rsidR="002919D2" w:rsidRPr="003C6A66">
        <w:rPr>
          <w:bCs/>
          <w:lang w:val="en-GB"/>
        </w:rPr>
        <w:t xml:space="preserve"> 76.9% of the total </w:t>
      </w:r>
      <w:r w:rsidR="003E7FD0" w:rsidRPr="003C6A66">
        <w:rPr>
          <w:bCs/>
          <w:lang w:val="en-GB"/>
        </w:rPr>
        <w:t xml:space="preserve">variance </w:t>
      </w:r>
      <w:r w:rsidR="002919D2" w:rsidRPr="003C6A66">
        <w:rPr>
          <w:bCs/>
          <w:lang w:val="en-GB"/>
        </w:rPr>
        <w:t xml:space="preserve">of </w:t>
      </w:r>
      <w:r w:rsidR="00A320BE" w:rsidRPr="003C6A66">
        <w:rPr>
          <w:bCs/>
          <w:lang w:val="en-GB"/>
        </w:rPr>
        <w:t>the</w:t>
      </w:r>
      <w:r w:rsidR="002919D2" w:rsidRPr="003C6A66">
        <w:rPr>
          <w:bCs/>
          <w:lang w:val="en-GB"/>
        </w:rPr>
        <w:t xml:space="preserve"> indicator</w:t>
      </w:r>
      <w:r w:rsidR="00A320BE" w:rsidRPr="003C6A66">
        <w:rPr>
          <w:bCs/>
          <w:lang w:val="en-GB"/>
        </w:rPr>
        <w:t>s</w:t>
      </w:r>
      <w:r w:rsidR="002919D2" w:rsidRPr="003C6A66">
        <w:rPr>
          <w:bCs/>
          <w:lang w:val="en-GB"/>
        </w:rPr>
        <w:t>.</w:t>
      </w:r>
    </w:p>
    <w:p w14:paraId="4D0699FB" w14:textId="5C26C460" w:rsidR="002F7250" w:rsidRPr="00EE58BB" w:rsidRDefault="002F7250" w:rsidP="00EE58BB">
      <w:pPr>
        <w:pStyle w:val="ListParagraph"/>
        <w:numPr>
          <w:ilvl w:val="1"/>
          <w:numId w:val="3"/>
        </w:numPr>
        <w:spacing w:line="276" w:lineRule="auto"/>
        <w:jc w:val="both"/>
        <w:rPr>
          <w:b/>
          <w:lang w:val="en-GB"/>
        </w:rPr>
      </w:pPr>
      <w:r w:rsidRPr="00EE58BB">
        <w:rPr>
          <w:b/>
          <w:lang w:val="en-GB"/>
        </w:rPr>
        <w:t>Statistical analyses</w:t>
      </w:r>
    </w:p>
    <w:p w14:paraId="389ED249" w14:textId="2303459C" w:rsidR="00867C16" w:rsidRPr="005F24B1" w:rsidRDefault="005931B5" w:rsidP="00801558">
      <w:pPr>
        <w:spacing w:line="276" w:lineRule="auto"/>
        <w:jc w:val="both"/>
        <w:rPr>
          <w:bCs/>
          <w:lang w:val="en-GB"/>
        </w:rPr>
      </w:pPr>
      <w:r w:rsidRPr="003C6A66">
        <w:rPr>
          <w:bCs/>
          <w:lang w:val="en-GB"/>
        </w:rPr>
        <w:t xml:space="preserve">We calculated the Spearman correlations of the </w:t>
      </w:r>
      <w:r w:rsidR="007B7824" w:rsidRPr="003C6A66">
        <w:rPr>
          <w:bCs/>
          <w:lang w:val="en-GB"/>
        </w:rPr>
        <w:t xml:space="preserve">environmental indicators </w:t>
      </w:r>
      <w:r w:rsidR="00C97ACE" w:rsidRPr="003C6A66">
        <w:rPr>
          <w:bCs/>
          <w:lang w:val="en-GB"/>
        </w:rPr>
        <w:t xml:space="preserve">and the </w:t>
      </w:r>
      <w:r w:rsidR="0030453C" w:rsidRPr="003C6A66">
        <w:rPr>
          <w:bCs/>
          <w:lang w:val="en-GB"/>
        </w:rPr>
        <w:t xml:space="preserve">index of </w:t>
      </w:r>
      <w:r w:rsidR="009B1686" w:rsidRPr="003C6A66">
        <w:rPr>
          <w:bCs/>
          <w:lang w:val="en-GB"/>
        </w:rPr>
        <w:t>neighbourhood</w:t>
      </w:r>
      <w:r w:rsidR="0030453C" w:rsidRPr="003C6A66">
        <w:rPr>
          <w:bCs/>
          <w:lang w:val="en-GB"/>
        </w:rPr>
        <w:t xml:space="preserve"> socioeconomic position. We </w:t>
      </w:r>
      <w:r w:rsidR="00C97177" w:rsidRPr="003C6A66">
        <w:rPr>
          <w:bCs/>
          <w:lang w:val="en-GB"/>
        </w:rPr>
        <w:t>fitted mixed-effects</w:t>
      </w:r>
      <w:r w:rsidR="0030453C" w:rsidRPr="003C6A66">
        <w:rPr>
          <w:bCs/>
          <w:lang w:val="en-GB"/>
        </w:rPr>
        <w:t xml:space="preserve"> </w:t>
      </w:r>
      <w:r w:rsidR="00C97177" w:rsidRPr="003C6A66">
        <w:rPr>
          <w:bCs/>
          <w:lang w:val="en-GB"/>
        </w:rPr>
        <w:t xml:space="preserve">Cox proportional hazards </w:t>
      </w:r>
      <w:r w:rsidR="00C97177" w:rsidRPr="003C6A66">
        <w:rPr>
          <w:bCs/>
          <w:lang w:val="en-GB"/>
        </w:rPr>
        <w:lastRenderedPageBreak/>
        <w:t>models</w:t>
      </w:r>
      <w:r w:rsidR="00AC0E6F" w:rsidRPr="003C6A66">
        <w:rPr>
          <w:bCs/>
          <w:lang w:val="en-GB"/>
        </w:rPr>
        <w:t xml:space="preserve"> </w:t>
      </w:r>
      <w:r w:rsidR="00A421B2" w:rsidRPr="003C6A66">
        <w:rPr>
          <w:bCs/>
          <w:lang w:val="en-GB"/>
        </w:rPr>
        <w:t>of</w:t>
      </w:r>
      <w:r w:rsidR="00AC4557" w:rsidRPr="003C6A66">
        <w:rPr>
          <w:bCs/>
          <w:lang w:val="en-GB"/>
        </w:rPr>
        <w:t xml:space="preserve"> the association between residential green spaces and </w:t>
      </w:r>
      <w:r w:rsidR="00A421B2" w:rsidRPr="003C6A66">
        <w:rPr>
          <w:bCs/>
          <w:lang w:val="en-GB"/>
        </w:rPr>
        <w:t>site-specific cancer mortality</w:t>
      </w:r>
      <w:r w:rsidR="00AC0E6F" w:rsidRPr="003C6A66">
        <w:rPr>
          <w:bCs/>
          <w:lang w:val="en-GB"/>
        </w:rPr>
        <w:t>, using age as the underlying time scale</w:t>
      </w:r>
      <w:r w:rsidR="00BD221F" w:rsidRPr="003C6A66">
        <w:rPr>
          <w:bCs/>
          <w:lang w:val="en-GB"/>
        </w:rPr>
        <w:t>.</w:t>
      </w:r>
      <w:r w:rsidR="00644637" w:rsidRPr="003C6A66">
        <w:rPr>
          <w:bCs/>
          <w:lang w:val="en-GB"/>
        </w:rPr>
        <w:t xml:space="preserve"> Observations were censored </w:t>
      </w:r>
      <w:r w:rsidR="00716FFF">
        <w:rPr>
          <w:bCs/>
          <w:lang w:val="en-GB"/>
        </w:rPr>
        <w:t>when</w:t>
      </w:r>
      <w:r w:rsidR="00950694" w:rsidRPr="003C6A66">
        <w:rPr>
          <w:bCs/>
          <w:lang w:val="en-GB"/>
        </w:rPr>
        <w:t xml:space="preserve"> emigrat</w:t>
      </w:r>
      <w:r w:rsidR="00716FFF">
        <w:rPr>
          <w:bCs/>
          <w:lang w:val="en-GB"/>
        </w:rPr>
        <w:t>ion</w:t>
      </w:r>
      <w:r w:rsidR="00950694" w:rsidRPr="003C6A66">
        <w:rPr>
          <w:bCs/>
          <w:lang w:val="en-GB"/>
        </w:rPr>
        <w:t xml:space="preserve">, </w:t>
      </w:r>
      <w:r w:rsidR="00716FFF">
        <w:rPr>
          <w:bCs/>
          <w:lang w:val="en-GB"/>
        </w:rPr>
        <w:t>death</w:t>
      </w:r>
      <w:r w:rsidR="00334879">
        <w:rPr>
          <w:bCs/>
          <w:lang w:val="en-GB"/>
        </w:rPr>
        <w:t xml:space="preserve"> from other causes</w:t>
      </w:r>
      <w:r w:rsidR="00950694" w:rsidRPr="003C6A66">
        <w:rPr>
          <w:bCs/>
          <w:lang w:val="en-GB"/>
        </w:rPr>
        <w:t xml:space="preserve"> or end of follow-up</w:t>
      </w:r>
      <w:r w:rsidR="00DF006B" w:rsidRPr="003C6A66">
        <w:rPr>
          <w:bCs/>
          <w:lang w:val="en-GB"/>
        </w:rPr>
        <w:t xml:space="preserve"> occurred</w:t>
      </w:r>
      <w:r w:rsidR="00734B0A" w:rsidRPr="003C6A66">
        <w:rPr>
          <w:bCs/>
          <w:lang w:val="en-GB"/>
        </w:rPr>
        <w:t xml:space="preserve">, </w:t>
      </w:r>
      <w:r w:rsidR="0063334C" w:rsidRPr="003C6A66">
        <w:rPr>
          <w:bCs/>
          <w:lang w:val="en-GB"/>
        </w:rPr>
        <w:t>in chronological order</w:t>
      </w:r>
      <w:r w:rsidR="00950694" w:rsidRPr="003C6A66">
        <w:rPr>
          <w:bCs/>
          <w:lang w:val="en-GB"/>
        </w:rPr>
        <w:t>.</w:t>
      </w:r>
      <w:r w:rsidR="00BD221F" w:rsidRPr="003C6A66">
        <w:rPr>
          <w:bCs/>
          <w:lang w:val="en-GB"/>
        </w:rPr>
        <w:t xml:space="preserve"> </w:t>
      </w:r>
      <w:r w:rsidR="00524686" w:rsidRPr="00F20926">
        <w:rPr>
          <w:bCs/>
          <w:lang w:val="en-GB"/>
        </w:rPr>
        <w:t>The proportional hazards’ assumptions of our Cox models were tested by plotting and examining Kaplan-Meier curves. Assumptions did not hold for gender, and we therefore specified a strata term for this variable.</w:t>
      </w:r>
      <w:r w:rsidR="00524686">
        <w:rPr>
          <w:bCs/>
          <w:i/>
          <w:iCs/>
          <w:lang w:val="en-GB"/>
        </w:rPr>
        <w:t xml:space="preserve"> </w:t>
      </w:r>
      <w:r w:rsidR="00BD221F" w:rsidRPr="003C6A66">
        <w:rPr>
          <w:bCs/>
          <w:lang w:val="en-GB"/>
        </w:rPr>
        <w:t>We considered</w:t>
      </w:r>
      <w:r w:rsidR="00F75ACA" w:rsidRPr="003C6A66">
        <w:rPr>
          <w:bCs/>
          <w:lang w:val="en-GB"/>
        </w:rPr>
        <w:t xml:space="preserve"> a hierarchical structure of our data</w:t>
      </w:r>
      <w:r w:rsidR="00544362" w:rsidRPr="003C6A66">
        <w:rPr>
          <w:bCs/>
          <w:lang w:val="en-GB"/>
        </w:rPr>
        <w:t>:</w:t>
      </w:r>
      <w:r w:rsidR="00F75ACA" w:rsidRPr="003C6A66">
        <w:rPr>
          <w:bCs/>
          <w:lang w:val="en-GB"/>
        </w:rPr>
        <w:t xml:space="preserve"> individuals </w:t>
      </w:r>
      <w:r w:rsidR="00BD221F" w:rsidRPr="003C6A66">
        <w:rPr>
          <w:bCs/>
          <w:lang w:val="en-GB"/>
        </w:rPr>
        <w:t xml:space="preserve">(level 1) </w:t>
      </w:r>
      <w:r w:rsidR="00F75ACA" w:rsidRPr="003C6A66">
        <w:rPr>
          <w:bCs/>
          <w:lang w:val="en-GB"/>
        </w:rPr>
        <w:t xml:space="preserve">being </w:t>
      </w:r>
      <w:r w:rsidR="00BD221F" w:rsidRPr="003C6A66">
        <w:rPr>
          <w:bCs/>
          <w:lang w:val="en-GB"/>
        </w:rPr>
        <w:t xml:space="preserve">nested within </w:t>
      </w:r>
      <w:r w:rsidR="002B2879" w:rsidRPr="003C6A66">
        <w:rPr>
          <w:bCs/>
          <w:lang w:val="en-GB"/>
        </w:rPr>
        <w:t>census tract</w:t>
      </w:r>
      <w:r w:rsidR="00DA7367">
        <w:rPr>
          <w:bCs/>
          <w:lang w:val="en-GB"/>
        </w:rPr>
        <w:t>s</w:t>
      </w:r>
      <w:r w:rsidR="00BD221F" w:rsidRPr="003C6A66">
        <w:rPr>
          <w:bCs/>
          <w:lang w:val="en-GB"/>
        </w:rPr>
        <w:t xml:space="preserve"> (level 2), </w:t>
      </w:r>
      <w:r w:rsidR="00F52895" w:rsidRPr="003C6A66">
        <w:rPr>
          <w:bCs/>
          <w:lang w:val="en-GB"/>
        </w:rPr>
        <w:t xml:space="preserve">nested in </w:t>
      </w:r>
      <w:r w:rsidR="00F75ACA" w:rsidRPr="003C6A66">
        <w:rPr>
          <w:bCs/>
          <w:lang w:val="en-GB"/>
        </w:rPr>
        <w:t>turn in</w:t>
      </w:r>
      <w:r w:rsidR="00F52895" w:rsidRPr="003C6A66">
        <w:rPr>
          <w:bCs/>
          <w:lang w:val="en-GB"/>
        </w:rPr>
        <w:t xml:space="preserve"> each one of the five Belgian urban areas (level 3).</w:t>
      </w:r>
      <w:r w:rsidR="00BD221F" w:rsidRPr="003C6A66">
        <w:rPr>
          <w:bCs/>
          <w:lang w:val="en-GB"/>
        </w:rPr>
        <w:t xml:space="preserve"> </w:t>
      </w:r>
      <w:r w:rsidR="001156BC" w:rsidRPr="00F20926">
        <w:rPr>
          <w:bCs/>
          <w:lang w:val="en-GB"/>
        </w:rPr>
        <w:t>To account for the random effects on site-specific cancer mortality of residing in the different areas considered, we included frailty term</w:t>
      </w:r>
      <w:r w:rsidR="008F78F6" w:rsidRPr="00F20926">
        <w:rPr>
          <w:bCs/>
          <w:lang w:val="en-GB"/>
        </w:rPr>
        <w:t>s</w:t>
      </w:r>
      <w:r w:rsidR="001156BC" w:rsidRPr="00F20926">
        <w:rPr>
          <w:bCs/>
          <w:lang w:val="en-GB"/>
        </w:rPr>
        <w:t xml:space="preserve"> allowing for different distributions of the baseline hazard function</w:t>
      </w:r>
      <w:r w:rsidR="001156BC">
        <w:rPr>
          <w:bCs/>
          <w:i/>
          <w:iCs/>
          <w:u w:val="single"/>
          <w:lang w:val="en-GB"/>
        </w:rPr>
        <w:t xml:space="preserve"> </w:t>
      </w:r>
      <w:r w:rsidR="001156BC">
        <w:rPr>
          <w:bCs/>
          <w:i/>
          <w:iCs/>
          <w:u w:val="single"/>
          <w:lang w:val="en-GB"/>
        </w:rPr>
        <w:fldChar w:fldCharType="begin" w:fldLock="1"/>
      </w:r>
      <w:r w:rsidR="00823C87">
        <w:rPr>
          <w:bCs/>
          <w:i/>
          <w:iCs/>
          <w:u w:val="single"/>
          <w:lang w:val="en-GB"/>
        </w:rPr>
        <w:instrText>ADDIN CSL_CITATION {"citationItems":[{"id":"ITEM-1","itemData":{"DOI":"10.1111/insr.12214","author":[{"dropping-particle":"","family":"Austin","given":"Peter C","non-dropping-particle":"","parse-names":false,"suffix":""}],"container-title":"International Statistical Review","id":"ITEM-1","issue":"0","issued":{"date-parts":[["2017"]]},"page":"1-19","title":"A Tutorial on Multilevel Survival Analysis : Methods, Models and Applications","type":"article-journal","volume":"0"},"uris":["http://www.mendeley.com/documents/?uuid=1affee5b-6bc3-4680-88a1-e07a2c6600a1"]}],"mendeley":{"formattedCitation":"(Austin, 2017)","plainTextFormattedCitation":"(Austin, 2017)","previouslyFormattedCitation":"(Austin, 2017)"},"properties":{"noteIndex":0},"schema":"https://github.com/citation-style-language/schema/raw/master/csl-citation.json"}</w:instrText>
      </w:r>
      <w:r w:rsidR="001156BC">
        <w:rPr>
          <w:bCs/>
          <w:i/>
          <w:iCs/>
          <w:u w:val="single"/>
          <w:lang w:val="en-GB"/>
        </w:rPr>
        <w:fldChar w:fldCharType="separate"/>
      </w:r>
      <w:r w:rsidR="001156BC" w:rsidRPr="001156BC">
        <w:rPr>
          <w:bCs/>
          <w:iCs/>
          <w:noProof/>
          <w:lang w:val="en-GB"/>
        </w:rPr>
        <w:t>(Austin, 2017)</w:t>
      </w:r>
      <w:r w:rsidR="001156BC">
        <w:rPr>
          <w:bCs/>
          <w:i/>
          <w:iCs/>
          <w:u w:val="single"/>
          <w:lang w:val="en-GB"/>
        </w:rPr>
        <w:fldChar w:fldCharType="end"/>
      </w:r>
      <w:r w:rsidR="001156BC">
        <w:rPr>
          <w:bCs/>
          <w:i/>
          <w:iCs/>
          <w:u w:val="single"/>
          <w:lang w:val="en-GB"/>
        </w:rPr>
        <w:t>.</w:t>
      </w:r>
      <w:r w:rsidR="001156BC" w:rsidRPr="00E20990">
        <w:rPr>
          <w:bCs/>
          <w:i/>
          <w:iCs/>
          <w:u w:val="single"/>
          <w:lang w:val="en-GB"/>
        </w:rPr>
        <w:t xml:space="preserve"> </w:t>
      </w:r>
      <w:r w:rsidR="00B55872" w:rsidRPr="003C6A66">
        <w:rPr>
          <w:bCs/>
          <w:lang w:val="en-GB"/>
        </w:rPr>
        <w:t xml:space="preserve">We constructed our model stepwise, with increasing covariate adjustment. </w:t>
      </w:r>
      <w:r w:rsidR="00334879">
        <w:rPr>
          <w:bCs/>
          <w:lang w:val="en-GB"/>
        </w:rPr>
        <w:t>For each green spaces</w:t>
      </w:r>
      <w:r w:rsidR="00EF39A8">
        <w:rPr>
          <w:bCs/>
          <w:lang w:val="en-GB"/>
        </w:rPr>
        <w:t>’</w:t>
      </w:r>
      <w:r w:rsidR="00334879">
        <w:rPr>
          <w:bCs/>
          <w:lang w:val="en-GB"/>
        </w:rPr>
        <w:t xml:space="preserve"> indicator and each site-specific cancer mortality outcome, w</w:t>
      </w:r>
      <w:r w:rsidR="00334879" w:rsidRPr="003C6A66">
        <w:rPr>
          <w:bCs/>
          <w:lang w:val="en-GB"/>
        </w:rPr>
        <w:t xml:space="preserve">e </w:t>
      </w:r>
      <w:r w:rsidR="00B55872" w:rsidRPr="003C6A66">
        <w:rPr>
          <w:bCs/>
          <w:lang w:val="en-GB"/>
        </w:rPr>
        <w:t xml:space="preserve">first fitted a Model 1 (M1) including </w:t>
      </w:r>
      <w:r w:rsidR="00271210" w:rsidRPr="003C6A66">
        <w:rPr>
          <w:bCs/>
          <w:lang w:val="en-GB"/>
        </w:rPr>
        <w:t>the baseline hazard</w:t>
      </w:r>
      <w:r w:rsidR="00872BB4" w:rsidRPr="003C6A66">
        <w:rPr>
          <w:bCs/>
          <w:lang w:val="en-GB"/>
        </w:rPr>
        <w:t xml:space="preserve">, </w:t>
      </w:r>
      <w:r w:rsidR="0088173A" w:rsidRPr="003C6A66">
        <w:rPr>
          <w:bCs/>
          <w:lang w:val="en-GB"/>
        </w:rPr>
        <w:t>two</w:t>
      </w:r>
      <w:r w:rsidR="0041301F" w:rsidRPr="003C6A66">
        <w:rPr>
          <w:bCs/>
          <w:lang w:val="en-GB"/>
        </w:rPr>
        <w:t xml:space="preserve"> frailty term</w:t>
      </w:r>
      <w:r w:rsidR="0088173A" w:rsidRPr="003C6A66">
        <w:rPr>
          <w:bCs/>
          <w:lang w:val="en-GB"/>
        </w:rPr>
        <w:t xml:space="preserve">s (one for the </w:t>
      </w:r>
      <w:r w:rsidR="001D6E61" w:rsidRPr="003C6A66">
        <w:rPr>
          <w:bCs/>
          <w:lang w:val="en-GB"/>
        </w:rPr>
        <w:t xml:space="preserve">urban areas and one for the </w:t>
      </w:r>
      <w:r w:rsidR="002B2879" w:rsidRPr="003C6A66">
        <w:rPr>
          <w:bCs/>
          <w:lang w:val="en-GB"/>
        </w:rPr>
        <w:t>census tract</w:t>
      </w:r>
      <w:r w:rsidR="003833A4" w:rsidRPr="003833A4">
        <w:rPr>
          <w:bCs/>
          <w:lang w:val="en-GB"/>
        </w:rPr>
        <w:t xml:space="preserve"> </w:t>
      </w:r>
      <w:r w:rsidR="003833A4">
        <w:rPr>
          <w:bCs/>
          <w:lang w:val="en-GB"/>
        </w:rPr>
        <w:t xml:space="preserve">within </w:t>
      </w:r>
      <w:r w:rsidR="003833A4" w:rsidRPr="003C6A66">
        <w:rPr>
          <w:bCs/>
          <w:lang w:val="en-GB"/>
        </w:rPr>
        <w:t>the urban areas</w:t>
      </w:r>
      <w:r w:rsidR="001D6E61" w:rsidRPr="003C6A66">
        <w:rPr>
          <w:bCs/>
          <w:lang w:val="en-GB"/>
        </w:rPr>
        <w:t>) and a strata term</w:t>
      </w:r>
      <w:r w:rsidR="00644637" w:rsidRPr="003C6A66">
        <w:rPr>
          <w:bCs/>
          <w:lang w:val="en-GB"/>
        </w:rPr>
        <w:t xml:space="preserve"> for gender. Model 2 further adjusted for </w:t>
      </w:r>
      <w:r w:rsidR="008B7944" w:rsidRPr="003C6A66">
        <w:rPr>
          <w:bCs/>
          <w:lang w:val="en-GB"/>
        </w:rPr>
        <w:t>individual sociodemographic and socioeconomic variables</w:t>
      </w:r>
      <w:r w:rsidR="00271210" w:rsidRPr="003C6A66">
        <w:rPr>
          <w:bCs/>
          <w:lang w:val="en-GB"/>
        </w:rPr>
        <w:t xml:space="preserve"> (</w:t>
      </w:r>
      <w:r w:rsidR="00F4597D" w:rsidRPr="003C6A66">
        <w:rPr>
          <w:bCs/>
          <w:lang w:val="en-GB"/>
        </w:rPr>
        <w:t xml:space="preserve">migrant background, educational level, </w:t>
      </w:r>
      <w:r w:rsidR="00466D96" w:rsidRPr="003C6A66">
        <w:rPr>
          <w:bCs/>
          <w:lang w:val="en-GB"/>
        </w:rPr>
        <w:t>housing tenure, and household living arrangement).</w:t>
      </w:r>
      <w:r w:rsidR="0001182B" w:rsidRPr="003C6A66">
        <w:rPr>
          <w:bCs/>
          <w:lang w:val="en-GB"/>
        </w:rPr>
        <w:t xml:space="preserve"> Model 3</w:t>
      </w:r>
      <w:r w:rsidR="007132CC" w:rsidRPr="003C6A66">
        <w:rPr>
          <w:bCs/>
          <w:lang w:val="en-GB"/>
        </w:rPr>
        <w:t xml:space="preserve">, our </w:t>
      </w:r>
      <w:r w:rsidR="00195651">
        <w:rPr>
          <w:bCs/>
          <w:lang w:val="en-GB"/>
        </w:rPr>
        <w:t>main</w:t>
      </w:r>
      <w:r w:rsidR="007132CC" w:rsidRPr="003C6A66">
        <w:rPr>
          <w:bCs/>
          <w:lang w:val="en-GB"/>
        </w:rPr>
        <w:t xml:space="preserve"> model,</w:t>
      </w:r>
      <w:r w:rsidR="0001182B" w:rsidRPr="003C6A66">
        <w:rPr>
          <w:bCs/>
          <w:lang w:val="en-GB"/>
        </w:rPr>
        <w:t xml:space="preserve"> added the index of socioeconomic position (SEP) in the </w:t>
      </w:r>
      <w:r w:rsidR="009B1686" w:rsidRPr="003C6A66">
        <w:rPr>
          <w:bCs/>
          <w:lang w:val="en-GB"/>
        </w:rPr>
        <w:t>neighbourhood</w:t>
      </w:r>
      <w:r w:rsidR="0001182B" w:rsidRPr="003C6A66">
        <w:rPr>
          <w:bCs/>
          <w:lang w:val="en-GB"/>
        </w:rPr>
        <w:t>.</w:t>
      </w:r>
      <w:r w:rsidR="00867C16" w:rsidRPr="003C6A66">
        <w:rPr>
          <w:bCs/>
          <w:lang w:val="en-GB"/>
        </w:rPr>
        <w:t xml:space="preserve"> </w:t>
      </w:r>
      <w:r w:rsidR="006E15C5" w:rsidRPr="005C562B">
        <w:rPr>
          <w:bCs/>
          <w:color w:val="000000"/>
          <w:lang w:val="en-GB"/>
        </w:rPr>
        <w:t xml:space="preserve">For surrounding greenness and green areas we selected </w:t>
      </w:r>
      <w:r w:rsidR="006E15C5" w:rsidRPr="006241E5">
        <w:rPr>
          <w:bCs/>
          <w:i/>
          <w:iCs/>
          <w:color w:val="000000"/>
          <w:lang w:val="en-GB"/>
        </w:rPr>
        <w:t>a priori</w:t>
      </w:r>
      <w:r w:rsidR="006E15C5" w:rsidRPr="005C562B">
        <w:rPr>
          <w:bCs/>
          <w:color w:val="000000"/>
          <w:lang w:val="en-GB"/>
        </w:rPr>
        <w:t xml:space="preserve"> buffer sizes </w:t>
      </w:r>
      <w:r w:rsidR="006E15C5" w:rsidRPr="00F20926">
        <w:rPr>
          <w:bCs/>
          <w:color w:val="000000"/>
          <w:lang w:val="en-GB"/>
        </w:rPr>
        <w:t xml:space="preserve">of 300 m, based on the WHO’s recommendation of accessibility to green spaces (reflecting a five-minute walk from residence) </w:t>
      </w:r>
      <w:r w:rsidR="006E15C5" w:rsidRPr="00F20926">
        <w:rPr>
          <w:bCs/>
          <w:color w:val="000000"/>
          <w:lang w:val="en-GB"/>
        </w:rPr>
        <w:fldChar w:fldCharType="begin" w:fldLock="1"/>
      </w:r>
      <w:r w:rsidR="006E15C5" w:rsidRPr="00F20926">
        <w:rPr>
          <w:bCs/>
          <w:color w:val="000000"/>
          <w:lang w:val="en-GB"/>
        </w:rPr>
        <w:instrText>ADDIN CSL_CITATION {"citationItems":[{"id":"ITEM-1","itemData":{"author":[{"dropping-particle":"","family":"WHO","given":"","non-dropping-particle":"","parse-names":false,"suffix":""}],"id":"ITEM-1","issued":{"date-parts":[["2016"]]},"title":"Urban green spaces and health: A review of evidence","type":"report"},"uris":["http://www.mendeley.com/documents/?uuid=b26e3389-a430-46d7-bde2-522118511ed1"]}],"mendeley":{"formattedCitation":"(WHO, 2016)","plainTextFormattedCitation":"(WHO, 2016)","previouslyFormattedCitation":"(WHO, 2016)"},"properties":{"noteIndex":0},"schema":"https://github.com/citation-style-language/schema/raw/master/csl-citation.json"}</w:instrText>
      </w:r>
      <w:r w:rsidR="006E15C5" w:rsidRPr="00F20926">
        <w:rPr>
          <w:bCs/>
          <w:color w:val="000000"/>
          <w:lang w:val="en-GB"/>
        </w:rPr>
        <w:fldChar w:fldCharType="separate"/>
      </w:r>
      <w:r w:rsidR="006E15C5" w:rsidRPr="00F20926">
        <w:rPr>
          <w:bCs/>
          <w:noProof/>
          <w:color w:val="000000"/>
          <w:lang w:val="en-GB"/>
        </w:rPr>
        <w:t>(WHO, 2016)</w:t>
      </w:r>
      <w:r w:rsidR="006E15C5" w:rsidRPr="00F20926">
        <w:rPr>
          <w:bCs/>
          <w:color w:val="000000"/>
          <w:lang w:val="en-GB"/>
        </w:rPr>
        <w:fldChar w:fldCharType="end"/>
      </w:r>
      <w:r w:rsidR="006E15C5" w:rsidRPr="00F20926">
        <w:rPr>
          <w:bCs/>
          <w:color w:val="000000"/>
          <w:lang w:val="en-GB"/>
        </w:rPr>
        <w:t xml:space="preserve">. </w:t>
      </w:r>
      <w:r w:rsidR="00A168AF" w:rsidRPr="00F20926">
        <w:rPr>
          <w:bCs/>
          <w:color w:val="000000"/>
          <w:lang w:val="en-GB"/>
        </w:rPr>
        <w:t>This</w:t>
      </w:r>
      <w:r w:rsidR="006E15C5" w:rsidRPr="00F20926">
        <w:rPr>
          <w:bCs/>
          <w:color w:val="000000"/>
          <w:lang w:val="en-GB"/>
        </w:rPr>
        <w:t xml:space="preserve"> buffer size has been used in most prior studies on greenspace exposure and cancer risk </w:t>
      </w:r>
      <w:r w:rsidR="006E15C5" w:rsidRPr="00F20926">
        <w:rPr>
          <w:bCs/>
          <w:color w:val="000000"/>
          <w:lang w:val="en-GB"/>
        </w:rPr>
        <w:fldChar w:fldCharType="begin" w:fldLock="1"/>
      </w:r>
      <w:r w:rsidR="006E15C5" w:rsidRPr="00F20926">
        <w:rPr>
          <w:bCs/>
          <w:color w:val="000000"/>
          <w:lang w:val="en-GB"/>
        </w:rPr>
        <w:instrText>ADDIN CSL_CITATION {"citationItems":[{"id":"ITEM-1","itemData":{"DOI":"10.1016/j.envint.2016.10.024","ISSN":"0160-4120","author":[{"dropping-particle":"","family":"Demoury","given":"Claire","non-dropping-particle":"","parse-names":false,"suffix":""},{"dropping-particle":"","family":"Thierry","given":"Benoît","non-dropping-particle":"","parse-names":false,"suffix":""},{"dropping-particle":"","family":"Richard","given":"Hugues","non-dropping-particle":"","parse-names":false,"suffix":""},{"dropping-particle":"","family":"Sigler","given":"Brittany","non-dropping-particle":"","parse-names":false,"suffix":""},{"dropping-particle":"","family":"Kestens","given":"Yan","non-dropping-particle":"","parse-names":false,"suffix":""},{"dropping-particle":"","family":"Parent","given":"Marie-elise","non-dropping-particle":"","parse-names":false,"suffix":""}],"container-title":"Environment International","id":"ITEM-1","issued":{"date-parts":[["2017"]]},"page":"129-136","title":"Residential greenness and risk of prostate cancer : A case-control study in Montreal, Canada","type":"article-journal","volume":"98"},"uris":["http://www.mendeley.com/documents/?uuid=f3a385ce-2ed3-4904-b03e-169effabc27a"]},{"id":"ITEM-2","itemData":{"DOI":"https://doi.org/10.1016/j.envint.2019.105341","ISSN":"0160-4120","abstract":"Background Most previous studies that investigated associations of surrounding green, air pollution or traffic noise with mortality focused on single exposures. Objectives The aim of this study was to evaluate combined associations of long-term residential exposure to surrounding green, air pollution and traffic noise with total non-accidental and cause-specific mortality. Methods We linked a national health survey (Public Health Monitor, PHM) conducted in 2012 to the Dutch longitudinal mortality database. Subjects of the survey who were 30 years or older on 1 January 2013 (n = 339,633) were followed from 1 January 2013 till 31 December 2017. We used Cox proportional hazard models to evaluate associations of residential surrounding green (including the average Normalized Difference Vegetation Index (NDVI) in buffers of 300 m and 1000 m), annual average air pollutant concentrations (including particulate matter (PM10, PM2.5), nitrogen dioxide (NO2)) and traffic noise with non-accidental, circulatory disease, respiratory disease, lung cancer and neurodegenerative disease mortality. Results We observed 26,886 non-accidental deaths over 1.627.365 person-years of follow-up. Surrounding green, air pollution and traffic noise exposure were not significantly associated with non-accidental or cause-specific mortality. For non-accidental mortality, we found a hazard ratio (HR) of 0.99 (0.98, 1.01) per IQR increase in NDVI 300 m, a HR of 0.99 (95% CI: 0.97, 1.01) per IQR increase in NO2, a HR of 0.98 (0.97, 1.00) per IQR increase in PM2.5 and a HR of 0.99 (95% CI: 0.97, 1.01) per IQR increase in road-traffic noise. Analyses restricted to non-movers or excluding subjects aged 85+ years did not change the findings. Conclusion We found no evidence for associations of long-term residential exposures to surrounding green, air pollution and traffic noise with non-accidental or cause-specific mortality in a large population based survey in the Netherlands, possibly related to the relatively short follow-up period.","author":[{"dropping-particle":"","family":"Klompmaker","given":"Jochem O","non-dropping-particle":"","parse-names":false,"suffix":""},{"dropping-particle":"","family":"Hoek","given":"Gerard","non-dropping-particle":"","parse-names":false,"suffix":""},{"dropping-particle":"","family":"Bloemsma","given":"Lizan D","non-dropping-particle":"","parse-names":false,"suffix":""},{"dropping-particle":"","family":"Marra","given":"Marten","non-dropping-particle":"","parse-names":false,"suffix":""},{"dropping-particle":"","family":"Wijga","given":"Alet H","non-dropping-particle":"","parse-names":false,"suffix":""},{"dropping-particle":"","family":"Brink","given":"Carolien","non-dropping-particle":"van den","parse-names":false,"suffix":""},{"dropping-particle":"","family":"Brunekreef","given":"Bert","non-dropping-particle":"","parse-names":false,"suffix":""},{"dropping-particle":"","family":"Lebret","given":"Erik","non-dropping-particle":"","parse-names":false,"suffix":""},{"dropping-particle":"","family":"Gehring","given":"Ulrike","non-dropping-particle":"","parse-names":false,"suffix":""},{"dropping-particle":"","family":"Janssen","given":"Nicole A H","non-dropping-particle":"","parse-names":false,"suffix":""}],"container-title":"Environment International","id":"ITEM-2","issued":{"date-parts":[["2020"]]},"page":"105341","title":"Surrounding green, air pollution, traffic noise exposure and non-accidental and cause-specific mortality","type":"article-journal","volume":"134"},"uris":["http://www.mendeley.com/documents/?uuid=945f8fad-4afc-4fe9-837f-2bdd8f0b0ce0"]},{"id":"ITEM-3","itemData":{"DOI":"10.1016/j.ijheh.2018.07.014","ISSN":"1438-4639","author":[{"dropping-particle":"","family":"O'Callaghan-Gordo","given":"Cristina","non-dropping-particle":"","parse-names":false,"suffix":""},{"dropping-particle":"","family":"Kogevinas","given":"Manolis","non-dropping-particle":"","parse-names":false,"suffix":""},{"dropping-particle":"","family":"Cirach","given":"Marta","non-dropping-particle":"","parse-names":false,"suffix":""},{"dropping-particle":"","family":"Vidan","given":"Juana","non-dropping-particle":"","parse-names":false,"suffix":""},{"dropping-particle":"","family":"José","given":"Antonio","non-dropping-particle":"","parse-names":false,"suffix":""},{"dropping-particle":"","family":"Oribe","given":"Madalen","non-dropping-particle":"","parse-names":false,"suffix":""},{"dropping-particle":"","family":"Gràcia-lavedan","given":"Esther","non-dropping-particle":"","parse-names":false,"suffix":""}],"container-title":"International Journal of Hygiene and Environmental Health","id":"ITEM-3","issue":"8","issued":{"date-parts":[["2018"]]},"page":"1097-1106","publisher":"Elsevier","title":"Residential proximity to green spaces and breast cancer risk : The multicase- control study in Spain ( MCC-Spain )","type":"article-journal","volume":"221"},"uris":["http://www.mendeley.com/documents/?uuid=debd2ff8-bfe5-483d-a8b0-853679f043a2"]},{"id":"ITEM-4","itemData":{"DOI":"https://doi.org/10.1016/j.scitotenv.2021.147553","ISSN":"0048-9697","abstract":"Background Greenspace exposure has been suggested to be associated with a range of health outcomes. The available evidence on the association of this exposure with cancer is still very scarce and inconsistent. Objectives We aimed to study the association between greenspace exposure and all-site and site-specific (prostate, breast, colorectal, bladder, lung, and malignant melanoma of skin) cancer incidence in the GAZEL cohort. Methods This study was based on over 27 years of follow-up (1989–2016) of 19,408 participants across France. We assessed the residential greenspace exposure within several buffers as well as residential proximity to green spaces (agricultural, urban, and forests) in each follow-up. We used time-dependent Cox models, controlling for time-varying personal and area-level variables, with different lags between exposure and outcome. Additional analysis was conducted according to the urban-rural residence of the participants' over follow-up. Results Over the 294,645 person-years of follow-up, we registered 4075 incident cases of cancer. We found an increase in the risk for all-sites cancer with an inter-quartile range increase of Normalized Difference in Vegetation Index across different buffers (hazard ratio (HR) of 1.08; 95% CI: 1.02, 1.14 for the 100 m buffer). We found a positive association of all-sites cancer with proximity to agricultural lands (HR: 1.03; 95% CI: 1.00, 1.05), and forests (HR:1.04; 95% CI: 1.00, 1.07), but not with urban green spaces. The cancer site-specific analyses suggested a protective role of greenspace for breast, lung, and colorectal cancers (e.g. breast cancer HR at 100 m buffer: 0.82; 95% CI: 0.69, 0.99). Non-significant associations were observed for prostate, bladder, and skin cancer. Stratified analyses based on urban, semi-urban, and rural classification did not suggest any differential pattern. Conclusion We identified an increased risk of all-site cancer with increased greenspace and proximity to agricultural lands and forests; whereas potential protective role of greenspace for breast cancer.","author":[{"dropping-particle":"","family":"Zare Sakhvidi","given":"Mohammad Javad","non-dropping-particle":"","parse-names":false,"suffix":""},{"dropping-particle":"","family":"Yang","given":"Jun","non-dropping-particle":"","parse-names":false,"suffix":""},{"dropping-particle":"","family":"Siemiatycki","given":"Jack","non-dropping-particle":"","parse-names":false,"suffix":""},{"dropping-particle":"","family":"Dadvand","given":"Payam","non-dropping-particle":"","parse-names":false,"suffix":""},{"dropping-particle":"","family":"Hoogh","given":"Kees","non-dropping-particle":"de","parse-names":false,"suffix"</w:instrText>
      </w:r>
      <w:r w:rsidR="006E15C5" w:rsidRPr="00F20926">
        <w:rPr>
          <w:bCs/>
          <w:color w:val="000000"/>
          <w:lang w:val="fr-FR"/>
        </w:rPr>
        <w:instrText>:""},{"dropping-particle":"","family":"Vienneau","given":"Danielle","non-dropping-particle":"","parse-names":false,"suffix":""},{"dropping-particle":"","family":"Goldberg","given":"Marcel","non-dropping-particle":"","parse-names":false,"suffix":""},{"dropping-particle":"","family":"Zins","given":"Marie","non-dropping-particle":"","parse-names":false,"suffix":""},{"dropping-particle":"","family":"Lequy","given":"Emeline","non-dropping-particle":"","parse-names":false,"suffix":""},{"dropping-particle":"","family":"Jacquemin","given":"Bénédicte","non-dropping-particle":"","parse-names":false,"suffix":""}],"container-title":"Science of The Total Environment","id":"ITEM-4","issued":{"date-parts":[["2021"]]},"page":"147553","title":"Greenspace exposure and cancer incidence: A 27-year follow-up of the French GAZEL cohort","type":"article-journal","volume":"787"},"uris":["http://www.mendeley.com/documents/?uuid=14dab879-3a7f-49f9-bdf9-30f3d743070c"]}],"mendeley":{"formattedCitation":"(Demoury et al., 2017; Klompmaker et al., 2020; O’Callaghan-Gordo et al., 2018; Zare Sakhvidi et al., 2021)","plainTextFormattedCitation":"(Demoury et al., 2017; Klompmaker et al., 2020; O’Callaghan-Gordo et al., 2018; Zare Sakhvidi et al., 2021)","previouslyFormattedCitation":"(Demoury et al., 2017; Klompmaker et al., 2020; O’Callaghan-Gordo et al., 2018; Zare Sakhvidi et al., 2021)"},"properties":{"noteIndex":0},"schema":"https://github.com/citation-style-language/schema/raw/master/csl-citation.json"}</w:instrText>
      </w:r>
      <w:r w:rsidR="006E15C5" w:rsidRPr="00F20926">
        <w:rPr>
          <w:bCs/>
          <w:color w:val="000000"/>
          <w:lang w:val="en-GB"/>
        </w:rPr>
        <w:fldChar w:fldCharType="separate"/>
      </w:r>
      <w:r w:rsidR="006E15C5" w:rsidRPr="00F20926">
        <w:rPr>
          <w:bCs/>
          <w:noProof/>
          <w:color w:val="000000"/>
          <w:lang w:val="fr-FR"/>
        </w:rPr>
        <w:t>(Demoury et al., 2017; Klompmaker et al., 2020; O’Callaghan-Gordo et al., 2018; Zare Sakhvidi et al., 2021)</w:t>
      </w:r>
      <w:r w:rsidR="006E15C5" w:rsidRPr="00F20926">
        <w:rPr>
          <w:bCs/>
          <w:color w:val="000000"/>
          <w:lang w:val="en-GB"/>
        </w:rPr>
        <w:fldChar w:fldCharType="end"/>
      </w:r>
      <w:r w:rsidR="006E15C5" w:rsidRPr="00F20926">
        <w:rPr>
          <w:bCs/>
          <w:color w:val="000000"/>
          <w:lang w:val="fr-FR"/>
        </w:rPr>
        <w:t xml:space="preserve">. </w:t>
      </w:r>
      <w:r w:rsidR="00433CB6" w:rsidRPr="003C6A66">
        <w:rPr>
          <w:bCs/>
          <w:lang w:val="en-GB"/>
        </w:rPr>
        <w:t>We evaluated the linearity of the exposure-response association</w:t>
      </w:r>
      <w:r w:rsidR="007132CC" w:rsidRPr="003C6A66">
        <w:rPr>
          <w:bCs/>
          <w:lang w:val="en-GB"/>
        </w:rPr>
        <w:t xml:space="preserve"> of our main model</w:t>
      </w:r>
      <w:r w:rsidR="00433CB6" w:rsidRPr="003C6A66">
        <w:rPr>
          <w:bCs/>
          <w:lang w:val="en-GB"/>
        </w:rPr>
        <w:t xml:space="preserve"> </w:t>
      </w:r>
      <w:r w:rsidR="007B4781" w:rsidRPr="003C6A66">
        <w:rPr>
          <w:bCs/>
          <w:lang w:val="en-GB"/>
        </w:rPr>
        <w:t xml:space="preserve">for each one of the </w:t>
      </w:r>
      <w:r w:rsidR="00643EA9" w:rsidRPr="003C6A66">
        <w:rPr>
          <w:bCs/>
          <w:lang w:val="en-GB"/>
        </w:rPr>
        <w:t xml:space="preserve">studied </w:t>
      </w:r>
      <w:r w:rsidR="007B4781" w:rsidRPr="003C6A66">
        <w:rPr>
          <w:bCs/>
          <w:lang w:val="en-GB"/>
        </w:rPr>
        <w:t xml:space="preserve">outcomes. </w:t>
      </w:r>
      <w:r w:rsidR="00837324" w:rsidRPr="003C6A66">
        <w:rPr>
          <w:bCs/>
          <w:lang w:val="en-GB"/>
        </w:rPr>
        <w:t>We fitted</w:t>
      </w:r>
      <w:r w:rsidR="00A57F6B" w:rsidRPr="003C6A66">
        <w:rPr>
          <w:bCs/>
          <w:lang w:val="en-GB"/>
        </w:rPr>
        <w:t xml:space="preserve"> models with </w:t>
      </w:r>
      <w:r w:rsidR="0042013D" w:rsidRPr="003C6A66">
        <w:rPr>
          <w:bCs/>
          <w:lang w:val="en-GB"/>
        </w:rPr>
        <w:t xml:space="preserve">natural cubic splines with three degrees of freedom for each </w:t>
      </w:r>
      <w:r w:rsidR="00A57F6B" w:rsidRPr="003C6A66">
        <w:rPr>
          <w:bCs/>
          <w:lang w:val="en-GB"/>
        </w:rPr>
        <w:t>indicator</w:t>
      </w:r>
      <w:r w:rsidR="0042013D" w:rsidRPr="003C6A66">
        <w:rPr>
          <w:bCs/>
          <w:lang w:val="en-GB"/>
        </w:rPr>
        <w:t xml:space="preserve"> of residential green spaces</w:t>
      </w:r>
      <w:r w:rsidR="0076586E" w:rsidRPr="003C6A66">
        <w:rPr>
          <w:bCs/>
          <w:lang w:val="en-GB"/>
        </w:rPr>
        <w:t>,</w:t>
      </w:r>
      <w:r w:rsidR="0042013D" w:rsidRPr="003C6A66">
        <w:rPr>
          <w:bCs/>
          <w:lang w:val="en-GB"/>
        </w:rPr>
        <w:t xml:space="preserve"> </w:t>
      </w:r>
      <w:r w:rsidR="0076586E" w:rsidRPr="003C6A66">
        <w:rPr>
          <w:bCs/>
          <w:lang w:val="en-GB"/>
        </w:rPr>
        <w:t>which we</w:t>
      </w:r>
      <w:r w:rsidR="0042013D" w:rsidRPr="003C6A66">
        <w:rPr>
          <w:bCs/>
          <w:lang w:val="en-GB"/>
        </w:rPr>
        <w:t xml:space="preserve"> compared </w:t>
      </w:r>
      <w:r w:rsidR="00F53C94" w:rsidRPr="003C6A66">
        <w:rPr>
          <w:bCs/>
          <w:lang w:val="en-GB"/>
        </w:rPr>
        <w:t xml:space="preserve">to our main model </w:t>
      </w:r>
      <w:r w:rsidR="00EB3CF0">
        <w:rPr>
          <w:bCs/>
          <w:lang w:val="en-GB"/>
        </w:rPr>
        <w:t>with</w:t>
      </w:r>
      <w:r w:rsidR="00F53C94" w:rsidRPr="003C6A66">
        <w:rPr>
          <w:bCs/>
          <w:lang w:val="en-GB"/>
        </w:rPr>
        <w:t xml:space="preserve"> the linear term</w:t>
      </w:r>
      <w:r w:rsidR="0076586E" w:rsidRPr="003C6A66">
        <w:rPr>
          <w:bCs/>
          <w:lang w:val="en-GB"/>
        </w:rPr>
        <w:t xml:space="preserve"> using a likelihood ratio test (LRT). We only observed significant deviations from linearity </w:t>
      </w:r>
      <w:r w:rsidR="00774F41" w:rsidRPr="003C6A66">
        <w:rPr>
          <w:bCs/>
          <w:lang w:val="en-GB"/>
        </w:rPr>
        <w:t>for</w:t>
      </w:r>
      <w:r w:rsidR="00AA3D0C" w:rsidRPr="003C6A66">
        <w:rPr>
          <w:bCs/>
          <w:lang w:val="en-GB"/>
        </w:rPr>
        <w:t xml:space="preserve"> the associations</w:t>
      </w:r>
      <w:r w:rsidR="009F0748">
        <w:rPr>
          <w:bCs/>
          <w:lang w:val="en-GB"/>
        </w:rPr>
        <w:t xml:space="preserve"> of surrounding greenness and perceived </w:t>
      </w:r>
      <w:r w:rsidR="003B1716">
        <w:rPr>
          <w:bCs/>
          <w:lang w:val="en-GB"/>
        </w:rPr>
        <w:t>neighbourhood greenness</w:t>
      </w:r>
      <w:r w:rsidR="00AA3D0C" w:rsidRPr="003C6A66">
        <w:rPr>
          <w:bCs/>
          <w:lang w:val="en-GB"/>
        </w:rPr>
        <w:t xml:space="preserve"> with</w:t>
      </w:r>
      <w:r w:rsidR="00774F41" w:rsidRPr="003C6A66">
        <w:rPr>
          <w:bCs/>
          <w:lang w:val="en-GB"/>
        </w:rPr>
        <w:t xml:space="preserve"> lung cancer</w:t>
      </w:r>
      <w:r w:rsidR="00B05B60" w:rsidRPr="003C6A66">
        <w:rPr>
          <w:bCs/>
          <w:lang w:val="en-GB"/>
        </w:rPr>
        <w:t xml:space="preserve"> mortality</w:t>
      </w:r>
      <w:r w:rsidR="00AA3D0C" w:rsidRPr="003C6A66">
        <w:rPr>
          <w:bCs/>
          <w:lang w:val="en-GB"/>
        </w:rPr>
        <w:t xml:space="preserve"> </w:t>
      </w:r>
      <w:r w:rsidR="003462DC" w:rsidRPr="003C6A66">
        <w:rPr>
          <w:bCs/>
          <w:lang w:val="en-GB"/>
        </w:rPr>
        <w:t>(Figure S1)</w:t>
      </w:r>
      <w:r w:rsidR="000A61EF" w:rsidRPr="003C6A66">
        <w:rPr>
          <w:bCs/>
          <w:lang w:val="en-GB"/>
        </w:rPr>
        <w:t>.</w:t>
      </w:r>
      <w:r w:rsidR="00BB3D48" w:rsidRPr="00BB3D48">
        <w:rPr>
          <w:bCs/>
          <w:lang w:val="en-GB"/>
        </w:rPr>
        <w:t xml:space="preserve"> </w:t>
      </w:r>
      <w:r w:rsidR="00BB3D48">
        <w:rPr>
          <w:bCs/>
          <w:lang w:val="en-GB"/>
        </w:rPr>
        <w:t>Hence, r</w:t>
      </w:r>
      <w:r w:rsidR="00BB3D48" w:rsidRPr="003C6A66">
        <w:rPr>
          <w:bCs/>
          <w:lang w:val="en-GB"/>
        </w:rPr>
        <w:t>esults are expressed as hazard ratios (HR) and their 95% confidence intervals (95%CI)</w:t>
      </w:r>
      <w:r w:rsidR="00F8035B">
        <w:rPr>
          <w:bCs/>
          <w:lang w:val="en-GB"/>
        </w:rPr>
        <w:t xml:space="preserve"> of cancer mortality risk</w:t>
      </w:r>
      <w:r w:rsidR="00BB3D48" w:rsidRPr="003C6A66">
        <w:rPr>
          <w:bCs/>
          <w:lang w:val="en-GB"/>
        </w:rPr>
        <w:t xml:space="preserve"> for one interquartile range (IQR) increment in each residential green space indicator</w:t>
      </w:r>
      <w:r w:rsidR="00F8035B">
        <w:rPr>
          <w:bCs/>
          <w:lang w:val="en-GB"/>
        </w:rPr>
        <w:t xml:space="preserve">. In addition, for lung cancer mortality we also </w:t>
      </w:r>
      <w:r w:rsidR="00CB6556">
        <w:rPr>
          <w:bCs/>
          <w:lang w:val="en-GB"/>
        </w:rPr>
        <w:t>conducted</w:t>
      </w:r>
      <w:r w:rsidR="00591F67">
        <w:rPr>
          <w:bCs/>
          <w:lang w:val="en-GB"/>
        </w:rPr>
        <w:t xml:space="preserve"> </w:t>
      </w:r>
      <w:r w:rsidR="00CB6556">
        <w:rPr>
          <w:bCs/>
          <w:lang w:val="en-GB"/>
        </w:rPr>
        <w:t>the</w:t>
      </w:r>
      <w:r w:rsidR="00591F67">
        <w:rPr>
          <w:bCs/>
          <w:lang w:val="en-GB"/>
        </w:rPr>
        <w:t xml:space="preserve"> </w:t>
      </w:r>
      <w:r w:rsidR="00D26C07">
        <w:rPr>
          <w:bCs/>
          <w:lang w:val="en-GB"/>
        </w:rPr>
        <w:t>model</w:t>
      </w:r>
      <w:r w:rsidR="00CB6556">
        <w:rPr>
          <w:bCs/>
          <w:lang w:val="en-GB"/>
        </w:rPr>
        <w:t>s</w:t>
      </w:r>
      <w:r w:rsidR="00D26C07">
        <w:rPr>
          <w:bCs/>
          <w:lang w:val="en-GB"/>
        </w:rPr>
        <w:t xml:space="preserve"> with the </w:t>
      </w:r>
      <w:r w:rsidR="003B1716">
        <w:rPr>
          <w:bCs/>
          <w:lang w:val="en-GB"/>
        </w:rPr>
        <w:t xml:space="preserve">abovementioned </w:t>
      </w:r>
      <w:r w:rsidR="00D26C07">
        <w:rPr>
          <w:bCs/>
          <w:lang w:val="en-GB"/>
        </w:rPr>
        <w:t>green spaces’ indicators</w:t>
      </w:r>
      <w:r w:rsidR="00CB6556">
        <w:rPr>
          <w:bCs/>
          <w:lang w:val="en-GB"/>
        </w:rPr>
        <w:t xml:space="preserve"> categorised into quintiles</w:t>
      </w:r>
      <w:r w:rsidR="00BB3D48" w:rsidRPr="003C6A66">
        <w:rPr>
          <w:bCs/>
          <w:lang w:val="en-GB"/>
        </w:rPr>
        <w:t>.</w:t>
      </w:r>
      <w:r w:rsidR="00235D19" w:rsidRPr="00235D19">
        <w:rPr>
          <w:bCs/>
          <w:lang w:val="en-GB"/>
        </w:rPr>
        <w:t xml:space="preserve"> </w:t>
      </w:r>
      <w:r w:rsidR="00235D19" w:rsidRPr="003C6A66">
        <w:rPr>
          <w:bCs/>
          <w:lang w:val="en-GB"/>
        </w:rPr>
        <w:t>For lung cancer and colorectal cancer mortality, we present the results for the total population and for women and men separately.</w:t>
      </w:r>
    </w:p>
    <w:p w14:paraId="3B374213" w14:textId="091C364D" w:rsidR="00B3037C" w:rsidRPr="003C6A66" w:rsidRDefault="002D200D" w:rsidP="00801558">
      <w:pPr>
        <w:spacing w:line="276" w:lineRule="auto"/>
        <w:jc w:val="both"/>
        <w:rPr>
          <w:bCs/>
          <w:lang w:val="en-GB"/>
        </w:rPr>
      </w:pPr>
      <w:r w:rsidRPr="002D200D">
        <w:rPr>
          <w:bCs/>
          <w:lang w:val="en-GB"/>
        </w:rPr>
        <w:t>I</w:t>
      </w:r>
      <w:r w:rsidR="00A76D5F" w:rsidRPr="002D200D">
        <w:rPr>
          <w:bCs/>
          <w:lang w:val="en-GB"/>
        </w:rPr>
        <w:t xml:space="preserve">n additional analyses </w:t>
      </w:r>
      <w:r w:rsidRPr="002D200D">
        <w:rPr>
          <w:bCs/>
          <w:lang w:val="en-GB"/>
        </w:rPr>
        <w:t>we examined the role of air pollution in the associations under study</w:t>
      </w:r>
      <w:r>
        <w:rPr>
          <w:bCs/>
          <w:lang w:val="en-GB"/>
        </w:rPr>
        <w:t xml:space="preserve"> </w:t>
      </w:r>
      <w:r>
        <w:rPr>
          <w:bCs/>
          <w:lang w:val="en-GB"/>
        </w:rPr>
        <w:fldChar w:fldCharType="begin" w:fldLock="1"/>
      </w:r>
      <w:r w:rsidR="00525CEF">
        <w:rPr>
          <w:bCs/>
          <w:lang w:val="en-GB"/>
        </w:rPr>
        <w:instrText>ADDIN CSL_CITATION {"citationItems":[{"id":"ITEM-1","itemData":{"DOI":"10.1016/j.envint.2019.05.040","ISSN":"0160-4120","author":[{"dropping-particle":"","family":"Klompmaker","given":"Jochem O","non-dropping-particle":"","parse-names":false,"suffix":""},{"dropping-particle":"","family":"Hoek","given":"Gerard","non-dropping-particle":"","parse-names":false,"suffix":""},{"dropping-particle":"","family":"Bloemsma","given":"Lizan D","non-dropping-particle":"","parse-names":false,"suffix":""},{"dropping-particle":"","family":"Wijga","given":"Alet H","non-dropping-particle":"","parse-names":false,"suffix":""},{"dropping-particle":"Van Den","family":"Brink","given":"Carolien","non-dropping-particle":"","parse-names":false,"suffix":""},{"dropping-particle":"","family":"Brunekreef","given":"Bert","non-dropping-particle":"","parse-names":false,"suffix":""},{"dropping-particle":"","family":"Lebret","given":"Erik","non-dropping-particle":"","parse-names":false,"suffix":""},{"dropping-particle":"","family":"Gehring","given":"Ulrike","non-dropping-particle":"","parse-names":false,"suffix":""},{"dropping-particle":"","family":"Janssen","given":"Nicole A H","non-dropping-particle":"","parse-names":false,"suffix":""}],"container-title":"Environment International","id":"ITEM-1","issue":"April","issued":{"date-parts":[["2019"]]},"page":"525-537","publisher":"Elsevier","title":"Associations of combined exposures to surrounding green , air pollution and traffic noise on mental health","type":"article-journal","volume":"129"},"uris":["http://www.mendeley.com/documents/?uuid=3f01df37-7388-4061-a133-28e6dd0265dd"]}],"mendeley":{"formattedCitation":"(Klompmaker et al., 2019)","plainTextFormattedCitation":"(Klompmaker et al., 2019)","previouslyFormattedCitation":"(Klompmaker et al., 2019)"},"properties":{"noteIndex":0},"schema":"https://github.com/citation-style-language/schema/raw/master/csl-citation.json"}</w:instrText>
      </w:r>
      <w:r>
        <w:rPr>
          <w:bCs/>
          <w:lang w:val="en-GB"/>
        </w:rPr>
        <w:fldChar w:fldCharType="separate"/>
      </w:r>
      <w:r w:rsidR="00D10DDE" w:rsidRPr="00D10DDE">
        <w:rPr>
          <w:bCs/>
          <w:noProof/>
          <w:lang w:val="en-GB"/>
        </w:rPr>
        <w:t>(Klompmaker et al., 2019)</w:t>
      </w:r>
      <w:r>
        <w:rPr>
          <w:bCs/>
          <w:lang w:val="en-GB"/>
        </w:rPr>
        <w:fldChar w:fldCharType="end"/>
      </w:r>
      <w:r>
        <w:rPr>
          <w:bCs/>
          <w:lang w:val="en-GB"/>
        </w:rPr>
        <w:t>. W</w:t>
      </w:r>
      <w:r w:rsidR="00A76D5F" w:rsidRPr="003C6A66">
        <w:rPr>
          <w:bCs/>
          <w:lang w:val="en-GB"/>
        </w:rPr>
        <w:t>e</w:t>
      </w:r>
      <w:r>
        <w:rPr>
          <w:bCs/>
          <w:lang w:val="en-GB"/>
        </w:rPr>
        <w:t xml:space="preserve"> first</w:t>
      </w:r>
      <w:r w:rsidR="007D1F23" w:rsidRPr="003C6A66">
        <w:rPr>
          <w:bCs/>
          <w:lang w:val="en-GB"/>
        </w:rPr>
        <w:t xml:space="preserve"> </w:t>
      </w:r>
      <w:r w:rsidR="00A76D5F" w:rsidRPr="003C6A66">
        <w:rPr>
          <w:bCs/>
          <w:lang w:val="en-GB"/>
        </w:rPr>
        <w:t xml:space="preserve">adjusted our </w:t>
      </w:r>
      <w:r w:rsidR="00B9311F" w:rsidRPr="003C6A66">
        <w:rPr>
          <w:bCs/>
          <w:lang w:val="en-GB"/>
        </w:rPr>
        <w:t>main models for ambient air pollution concentrations</w:t>
      </w:r>
      <w:r w:rsidR="0088390F" w:rsidRPr="003C6A66">
        <w:rPr>
          <w:bCs/>
          <w:lang w:val="en-GB"/>
        </w:rPr>
        <w:t>, including each pollutant</w:t>
      </w:r>
      <w:r w:rsidR="00B9311F" w:rsidRPr="003C6A66">
        <w:rPr>
          <w:bCs/>
          <w:lang w:val="en-GB"/>
        </w:rPr>
        <w:t xml:space="preserve"> (PM</w:t>
      </w:r>
      <w:r w:rsidR="00B9311F" w:rsidRPr="003C6A66">
        <w:rPr>
          <w:bCs/>
          <w:vertAlign w:val="subscript"/>
          <w:lang w:val="en-GB"/>
        </w:rPr>
        <w:t>2.5</w:t>
      </w:r>
      <w:r w:rsidR="00B9311F" w:rsidRPr="003C6A66">
        <w:rPr>
          <w:bCs/>
          <w:lang w:val="en-GB"/>
        </w:rPr>
        <w:t>, PM</w:t>
      </w:r>
      <w:r w:rsidR="00B9311F" w:rsidRPr="003C6A66">
        <w:rPr>
          <w:bCs/>
          <w:vertAlign w:val="subscript"/>
          <w:lang w:val="en-GB"/>
        </w:rPr>
        <w:t>10</w:t>
      </w:r>
      <w:r w:rsidR="00B9311F" w:rsidRPr="003C6A66">
        <w:rPr>
          <w:bCs/>
          <w:lang w:val="en-GB"/>
        </w:rPr>
        <w:t xml:space="preserve"> and NO</w:t>
      </w:r>
      <w:r w:rsidR="00B9311F" w:rsidRPr="003C6A66">
        <w:rPr>
          <w:bCs/>
          <w:vertAlign w:val="subscript"/>
          <w:lang w:val="en-GB"/>
        </w:rPr>
        <w:t>2</w:t>
      </w:r>
      <w:r w:rsidR="00B9311F" w:rsidRPr="003C6A66">
        <w:rPr>
          <w:bCs/>
          <w:lang w:val="en-GB"/>
        </w:rPr>
        <w:t>)</w:t>
      </w:r>
      <w:r w:rsidR="0088390F" w:rsidRPr="003C6A66">
        <w:rPr>
          <w:bCs/>
          <w:lang w:val="en-GB"/>
        </w:rPr>
        <w:t xml:space="preserve"> separately</w:t>
      </w:r>
      <w:r w:rsidR="00B9311F" w:rsidRPr="003C6A66">
        <w:rPr>
          <w:bCs/>
          <w:lang w:val="en-GB"/>
        </w:rPr>
        <w:t>.</w:t>
      </w:r>
      <w:r w:rsidR="007D661F" w:rsidRPr="003C6A66">
        <w:rPr>
          <w:bCs/>
          <w:lang w:val="en-GB"/>
        </w:rPr>
        <w:t xml:space="preserve"> </w:t>
      </w:r>
      <w:r>
        <w:rPr>
          <w:bCs/>
          <w:lang w:val="en-GB"/>
        </w:rPr>
        <w:t>W</w:t>
      </w:r>
      <w:r w:rsidR="007D661F" w:rsidRPr="003C6A66">
        <w:rPr>
          <w:bCs/>
          <w:lang w:val="en-GB"/>
        </w:rPr>
        <w:t>e</w:t>
      </w:r>
      <w:r>
        <w:rPr>
          <w:bCs/>
          <w:lang w:val="en-GB"/>
        </w:rPr>
        <w:t xml:space="preserve"> then</w:t>
      </w:r>
      <w:r w:rsidR="007D661F" w:rsidRPr="003C6A66">
        <w:rPr>
          <w:bCs/>
          <w:lang w:val="en-GB"/>
        </w:rPr>
        <w:t xml:space="preserve"> </w:t>
      </w:r>
      <w:r w:rsidR="002350B6" w:rsidRPr="003C6A66">
        <w:rPr>
          <w:bCs/>
          <w:lang w:val="en-GB"/>
        </w:rPr>
        <w:t xml:space="preserve">evaluated </w:t>
      </w:r>
      <w:r w:rsidR="00845756" w:rsidRPr="003C6A66">
        <w:rPr>
          <w:bCs/>
          <w:lang w:val="en-GB"/>
        </w:rPr>
        <w:t xml:space="preserve">the role of </w:t>
      </w:r>
      <w:r w:rsidR="003D3B04" w:rsidRPr="00F20926">
        <w:rPr>
          <w:rFonts w:eastAsia="Arial"/>
          <w:bCs/>
          <w:lang w:val="en-GB"/>
        </w:rPr>
        <w:t>each air pollutant</w:t>
      </w:r>
      <w:r w:rsidR="003D3B04" w:rsidRPr="001E5C22">
        <w:rPr>
          <w:rFonts w:eastAsia="Arial"/>
          <w:bCs/>
          <w:i/>
          <w:iCs/>
          <w:lang w:val="en-GB"/>
        </w:rPr>
        <w:t xml:space="preserve"> </w:t>
      </w:r>
      <w:r w:rsidR="007D661F" w:rsidRPr="003C6A66">
        <w:rPr>
          <w:bCs/>
          <w:lang w:val="en-GB"/>
        </w:rPr>
        <w:t xml:space="preserve">as a mediator in the associations between </w:t>
      </w:r>
      <w:r w:rsidR="00021F73" w:rsidRPr="003C6A66">
        <w:rPr>
          <w:bCs/>
          <w:lang w:val="en-GB"/>
        </w:rPr>
        <w:t xml:space="preserve">residential green spaces and </w:t>
      </w:r>
      <w:r w:rsidR="00B43315" w:rsidRPr="003C6A66">
        <w:rPr>
          <w:bCs/>
          <w:lang w:val="en-GB"/>
        </w:rPr>
        <w:t>cancer mortality</w:t>
      </w:r>
      <w:r w:rsidR="00A46E48" w:rsidRPr="003C6A66">
        <w:rPr>
          <w:bCs/>
          <w:lang w:val="en-GB"/>
        </w:rPr>
        <w:t xml:space="preserve"> </w:t>
      </w:r>
      <w:r w:rsidR="00CC6ACD" w:rsidRPr="003C6A66">
        <w:rPr>
          <w:bCs/>
          <w:lang w:val="en-GB"/>
        </w:rPr>
        <w:t xml:space="preserve">using the package </w:t>
      </w:r>
      <w:r w:rsidR="00CC6ACD" w:rsidRPr="003C6A66">
        <w:rPr>
          <w:bCs/>
          <w:i/>
          <w:iCs/>
          <w:lang w:val="en-GB"/>
        </w:rPr>
        <w:t>mediation</w:t>
      </w:r>
      <w:r w:rsidR="00646315" w:rsidRPr="003C6A66">
        <w:rPr>
          <w:bCs/>
          <w:i/>
          <w:iCs/>
          <w:lang w:val="en-GB"/>
        </w:rPr>
        <w:t xml:space="preserve"> </w:t>
      </w:r>
      <w:r w:rsidR="003F6C1F" w:rsidRPr="003C6A66">
        <w:rPr>
          <w:bCs/>
          <w:i/>
          <w:iCs/>
          <w:lang w:val="en-GB"/>
        </w:rPr>
        <w:fldChar w:fldCharType="begin" w:fldLock="1"/>
      </w:r>
      <w:r w:rsidR="00525CEF">
        <w:rPr>
          <w:bCs/>
          <w:i/>
          <w:iCs/>
          <w:lang w:val="en-GB"/>
        </w:rPr>
        <w:instrText>ADDIN CSL_CITATION {"citationItems":[{"id":"ITEM-1","itemData":{"author":[{"dropping-particle":"","family":"Tingley","given":"Dustin","non-dropping-particle":"","parse-names":false,"suffix":""},{"dropping-particle":"","family":"Yamamoto","given":"Teppei","non-dropping-particle":"","parse-names":false,"suffix":""},{"dropping-particle":"","family":"Hirose","given":"Kentaro","non-dropping-particle":"","parse-names":false,"suffix":""},{"dropping-particle":"","family":"Keele","given":"Luke","non-dropping-particle":"","parse-names":false,"suffix":""},{"dropping-particle":"","family":"Imai","given":"Kosuke","non-dropping-particle":"","parse-names":false,"suffix":""}],"container-title":"Journal of Statistical Software","id":"ITEM-1","issue":"5","issued":{"date-parts":[["2014"]]},"page":"1-38","title":"mediation: R Package for Causal Mediation Analysis","type":"article-journal","volume":"59"},"uris":["http://www.mendeley.com/documents/?uuid=9109f96e-a220-45d5-b360-f43d075dd5e7"]}],"mendeley":{"formattedCitation":"(Tingley et al., 2014)","plainTextFormattedCitation":"(Tingley et al., 2014)","previouslyFormattedCitation":"(Tingley et al., 2014)"},"properties":{"noteIndex":0},"schema":"https://github.com/citation-style-language/schema/raw/master/csl-citation.json"}</w:instrText>
      </w:r>
      <w:r w:rsidR="003F6C1F" w:rsidRPr="003C6A66">
        <w:rPr>
          <w:bCs/>
          <w:i/>
          <w:iCs/>
          <w:lang w:val="en-GB"/>
        </w:rPr>
        <w:fldChar w:fldCharType="separate"/>
      </w:r>
      <w:r w:rsidR="00D10DDE" w:rsidRPr="00D10DDE">
        <w:rPr>
          <w:bCs/>
          <w:iCs/>
          <w:noProof/>
          <w:lang w:val="en-GB"/>
        </w:rPr>
        <w:t>(Tingley et al., 2014)</w:t>
      </w:r>
      <w:r w:rsidR="003F6C1F" w:rsidRPr="003C6A66">
        <w:rPr>
          <w:bCs/>
          <w:i/>
          <w:iCs/>
          <w:lang w:val="en-GB"/>
        </w:rPr>
        <w:fldChar w:fldCharType="end"/>
      </w:r>
      <w:r w:rsidR="00CC6ACD" w:rsidRPr="003C6A66">
        <w:rPr>
          <w:bCs/>
          <w:i/>
          <w:iCs/>
          <w:lang w:val="en-GB"/>
        </w:rPr>
        <w:t xml:space="preserve"> </w:t>
      </w:r>
      <w:r w:rsidR="00CC6ACD" w:rsidRPr="003C6A66">
        <w:rPr>
          <w:bCs/>
          <w:lang w:val="en-GB"/>
        </w:rPr>
        <w:t xml:space="preserve">in R statistical software. </w:t>
      </w:r>
      <w:r w:rsidR="00B9471B" w:rsidRPr="00F20926">
        <w:rPr>
          <w:rFonts w:eastAsia="Arial"/>
          <w:bCs/>
          <w:lang w:val="en-GB"/>
        </w:rPr>
        <w:t>In brief, we fitted two fully adjusted models</w:t>
      </w:r>
      <w:r w:rsidR="003F7F16" w:rsidRPr="00F20926">
        <w:rPr>
          <w:rFonts w:eastAsia="Arial"/>
          <w:bCs/>
          <w:lang w:val="en-GB"/>
        </w:rPr>
        <w:t xml:space="preserve"> for each exposure, outcome, and mediator singly</w:t>
      </w:r>
      <w:r w:rsidR="00B9471B" w:rsidRPr="00F20926">
        <w:rPr>
          <w:rFonts w:eastAsia="Arial"/>
          <w:bCs/>
          <w:lang w:val="en-GB"/>
        </w:rPr>
        <w:t xml:space="preserve">: one model for the associations between exposure and outcome, including </w:t>
      </w:r>
      <w:r w:rsidR="003F7F16" w:rsidRPr="00F20926">
        <w:rPr>
          <w:rFonts w:eastAsia="Arial"/>
          <w:bCs/>
          <w:lang w:val="en-GB"/>
        </w:rPr>
        <w:t xml:space="preserve">the </w:t>
      </w:r>
      <w:r w:rsidR="00B9471B" w:rsidRPr="00F20926">
        <w:rPr>
          <w:rFonts w:eastAsia="Arial"/>
          <w:bCs/>
          <w:lang w:val="en-GB"/>
        </w:rPr>
        <w:t>mediator, and one linear regression model for the associations between exposure and mediator.</w:t>
      </w:r>
      <w:r w:rsidR="00B9471B" w:rsidRPr="00F20926">
        <w:rPr>
          <w:bCs/>
          <w:lang w:val="en-GB"/>
        </w:rPr>
        <w:t xml:space="preserve"> From these models we</w:t>
      </w:r>
      <w:r w:rsidR="00B9471B" w:rsidRPr="00210D71">
        <w:rPr>
          <w:bCs/>
          <w:i/>
          <w:iCs/>
          <w:lang w:val="en-GB"/>
        </w:rPr>
        <w:t xml:space="preserve"> </w:t>
      </w:r>
      <w:r w:rsidR="00CB1667">
        <w:rPr>
          <w:bCs/>
          <w:lang w:val="en-GB"/>
        </w:rPr>
        <w:t>obtained</w:t>
      </w:r>
      <w:r w:rsidR="007346E0" w:rsidRPr="003C6A66">
        <w:rPr>
          <w:bCs/>
          <w:lang w:val="en-GB"/>
        </w:rPr>
        <w:t xml:space="preserve"> the average causal mediation effects (ACME), also </w:t>
      </w:r>
      <w:r w:rsidR="007346E0" w:rsidRPr="003C6A66">
        <w:rPr>
          <w:bCs/>
          <w:lang w:val="en-GB"/>
        </w:rPr>
        <w:lastRenderedPageBreak/>
        <w:t>known as indirect effects,</w:t>
      </w:r>
      <w:r w:rsidR="00A37C85" w:rsidRPr="003C6A66">
        <w:rPr>
          <w:bCs/>
          <w:lang w:val="en-GB"/>
        </w:rPr>
        <w:t xml:space="preserve"> and the average direct effect (ADE).</w:t>
      </w:r>
      <w:r w:rsidR="0062559B" w:rsidRPr="003C6A66">
        <w:rPr>
          <w:bCs/>
          <w:lang w:val="en-GB"/>
        </w:rPr>
        <w:t xml:space="preserve"> </w:t>
      </w:r>
      <w:r w:rsidR="00266C80" w:rsidRPr="003C6A66">
        <w:rPr>
          <w:bCs/>
          <w:lang w:val="en-GB"/>
        </w:rPr>
        <w:t>We then</w:t>
      </w:r>
      <w:r w:rsidR="002C5AEB" w:rsidRPr="003C6A66">
        <w:rPr>
          <w:bCs/>
          <w:lang w:val="en-GB"/>
        </w:rPr>
        <w:t xml:space="preserve"> calculate</w:t>
      </w:r>
      <w:r w:rsidR="00266C80" w:rsidRPr="003C6A66">
        <w:rPr>
          <w:bCs/>
          <w:lang w:val="en-GB"/>
        </w:rPr>
        <w:t>d</w:t>
      </w:r>
      <w:r w:rsidR="002C5AEB" w:rsidRPr="003C6A66">
        <w:rPr>
          <w:bCs/>
          <w:lang w:val="en-GB"/>
        </w:rPr>
        <w:t xml:space="preserve"> the proportion of </w:t>
      </w:r>
      <w:r w:rsidR="003B6C96" w:rsidRPr="003C6A66">
        <w:rPr>
          <w:bCs/>
          <w:lang w:val="en-GB"/>
        </w:rPr>
        <w:t xml:space="preserve">risk reduction </w:t>
      </w:r>
      <w:r w:rsidR="00B3552F" w:rsidRPr="003C6A66">
        <w:rPr>
          <w:bCs/>
          <w:lang w:val="en-GB"/>
        </w:rPr>
        <w:t>in the</w:t>
      </w:r>
      <w:r w:rsidR="002C5AEB" w:rsidRPr="003C6A66">
        <w:rPr>
          <w:bCs/>
          <w:lang w:val="en-GB"/>
        </w:rPr>
        <w:t xml:space="preserve"> </w:t>
      </w:r>
      <w:r w:rsidR="00B3552F" w:rsidRPr="003C6A66">
        <w:rPr>
          <w:bCs/>
          <w:lang w:val="en-GB"/>
        </w:rPr>
        <w:t>outcome</w:t>
      </w:r>
      <w:r w:rsidR="005A3F11" w:rsidRPr="003C6A66">
        <w:rPr>
          <w:bCs/>
          <w:lang w:val="en-GB"/>
        </w:rPr>
        <w:t xml:space="preserve"> after exposure to green spaces that is mediated by a reduction in air pollution</w:t>
      </w:r>
      <w:r w:rsidR="00BC4BF6" w:rsidRPr="003C6A66">
        <w:rPr>
          <w:bCs/>
          <w:lang w:val="en-GB"/>
        </w:rPr>
        <w:t xml:space="preserve"> [</w:t>
      </w:r>
      <w:r w:rsidR="00871D3E" w:rsidRPr="003C6A66">
        <w:rPr>
          <w:bCs/>
          <w:lang w:val="en-GB"/>
        </w:rPr>
        <w:t xml:space="preserve">i.e., </w:t>
      </w:r>
      <w:r w:rsidR="00BC4BF6" w:rsidRPr="003C6A66">
        <w:rPr>
          <w:bCs/>
          <w:lang w:val="en-GB"/>
        </w:rPr>
        <w:t>ACME/(ACME+ADE)]</w:t>
      </w:r>
      <w:r w:rsidR="0025718C" w:rsidRPr="003C6A66">
        <w:rPr>
          <w:bCs/>
          <w:lang w:val="en-GB"/>
        </w:rPr>
        <w:t>, and its 95%</w:t>
      </w:r>
      <w:r w:rsidR="00324EBA" w:rsidRPr="003C6A66">
        <w:rPr>
          <w:bCs/>
          <w:lang w:val="en-GB"/>
        </w:rPr>
        <w:t xml:space="preserve"> Quasi-Bayesian confidence intervals (95%CI)</w:t>
      </w:r>
      <w:r w:rsidR="0025718C" w:rsidRPr="003C6A66">
        <w:rPr>
          <w:bCs/>
          <w:lang w:val="en-GB"/>
        </w:rPr>
        <w:t xml:space="preserve"> </w:t>
      </w:r>
      <w:r w:rsidR="001F0B1A" w:rsidRPr="003C6A66">
        <w:rPr>
          <w:bCs/>
          <w:lang w:val="en-GB"/>
        </w:rPr>
        <w:t>using</w:t>
      </w:r>
      <w:r w:rsidR="0025718C" w:rsidRPr="003C6A66">
        <w:rPr>
          <w:bCs/>
          <w:lang w:val="en-GB"/>
        </w:rPr>
        <w:t xml:space="preserve"> 1,000 Monte Carlo simulations. </w:t>
      </w:r>
      <w:r w:rsidR="00642675" w:rsidRPr="00F20926">
        <w:rPr>
          <w:rFonts w:eastAsia="Arial"/>
          <w:lang w:val="en-GB"/>
        </w:rPr>
        <w:t>The validity of the mediation analyses lies in four statistical assumptions: there must be no unmeasured confounding between exposure and outcome, between mediator and outcome, between exposure and mediator, and between mediator and outcome affected by exposure</w:t>
      </w:r>
      <w:r w:rsidR="00322046" w:rsidRPr="00F20926">
        <w:rPr>
          <w:rFonts w:eastAsia="Arial"/>
          <w:lang w:val="en-GB"/>
        </w:rPr>
        <w:t xml:space="preserve"> </w:t>
      </w:r>
      <w:r w:rsidR="00322046" w:rsidRPr="00F20926">
        <w:rPr>
          <w:rFonts w:eastAsia="Arial"/>
          <w:lang w:val="en-GB"/>
        </w:rPr>
        <w:fldChar w:fldCharType="begin" w:fldLock="1"/>
      </w:r>
      <w:r w:rsidR="001156BC" w:rsidRPr="00F20926">
        <w:rPr>
          <w:rFonts w:eastAsia="Arial"/>
          <w:lang w:val="en-GB"/>
        </w:rPr>
        <w:instrText>ADDIN CSL_CITATION {"citationItems":[{"id":"ITEM-1","itemData":{"DOI":"10.1146/annurev-publhealth-032315-021402","ISSN":"0163-7525","abstract":"This article provides an overview of recent developments in mediation analysis, that is, analyses used to assess the relative magnitude of different pathways and mechanisms by which an exposure may affect an outcome. Traditional approaches to mediation in the biomedical and social sciences are described. Attention is given to the confounding assumptions required for a causal interpretation of direct and indirect effect estimates. Methods from the causal inference literature to conduct mediation in the presence of exposure-mediator interactions, binary outcomes, binary mediators, and case-control study designs are presented. Sensitivity analysis techniques for unmeasured confounding and measurement error are introduced. Discussion is given to extensions to time-to-event outcomes and multiple mediators. Further flexible modeling strategies arising from the precise counterfactual definitions of direct and indirect effects are also described. The focus throughout is on methodology that is easily implementable in practice across a broad range of potential applications.","author":[{"dropping-particle":"","family":"VanderWeele","given":"Tyler J","non-dropping-particle":"","parse-names":false,"suffix":""}],"container-title":"Annual Review of Public Health","id":"ITEM-1","issue":"1","issued":{"date-parts":[["2016","3","18"]]},"note":"doi: 10.1146/annurev-publhealth-032315-021402","page":"17-32","publisher":"Annual Reviews","title":"Mediation Analysis: A Practitioner's Guide","type":"article-journal","volume":"37"},"uris":["http://www.mendeley.com/documents/?uuid=9a35ba5d-bbb6-4a48-9e6b-b6b7bee3caa8"]}],"mendeley":{"formattedCitation":"(VanderWeele, 2016)","plainTextFormattedCitation":"(VanderWeele, 2016)","previouslyFormattedCitation":"(VanderWeele, 2016)"},"properties":{"noteIndex":0},"schema":"https://github.com/citation-style-language/schema/raw/master/csl-citation.json"}</w:instrText>
      </w:r>
      <w:r w:rsidR="00322046" w:rsidRPr="00F20926">
        <w:rPr>
          <w:rFonts w:eastAsia="Arial"/>
          <w:lang w:val="en-GB"/>
        </w:rPr>
        <w:fldChar w:fldCharType="separate"/>
      </w:r>
      <w:r w:rsidR="00322046" w:rsidRPr="00F20926">
        <w:rPr>
          <w:rFonts w:eastAsia="Arial"/>
          <w:noProof/>
          <w:lang w:val="en-GB"/>
        </w:rPr>
        <w:t>(VanderWeele, 2016)</w:t>
      </w:r>
      <w:r w:rsidR="00322046" w:rsidRPr="00F20926">
        <w:rPr>
          <w:rFonts w:eastAsia="Arial"/>
          <w:lang w:val="en-GB"/>
        </w:rPr>
        <w:fldChar w:fldCharType="end"/>
      </w:r>
      <w:r w:rsidR="00642675" w:rsidRPr="00F20926">
        <w:rPr>
          <w:rFonts w:eastAsia="Arial"/>
          <w:lang w:val="en-GB"/>
        </w:rPr>
        <w:t xml:space="preserve">. </w:t>
      </w:r>
      <w:r w:rsidR="00866D0E" w:rsidRPr="003C6A66">
        <w:rPr>
          <w:bCs/>
          <w:lang w:val="en-GB"/>
        </w:rPr>
        <w:t xml:space="preserve">We only </w:t>
      </w:r>
      <w:r w:rsidR="000A6868" w:rsidRPr="003C6A66">
        <w:rPr>
          <w:bCs/>
          <w:lang w:val="en-GB"/>
        </w:rPr>
        <w:t>evaluated</w:t>
      </w:r>
      <w:r w:rsidR="00866D0E" w:rsidRPr="003C6A66">
        <w:rPr>
          <w:bCs/>
          <w:lang w:val="en-GB"/>
        </w:rPr>
        <w:t xml:space="preserve"> mediation </w:t>
      </w:r>
      <w:r w:rsidR="000A6868" w:rsidRPr="003C6A66">
        <w:rPr>
          <w:bCs/>
          <w:lang w:val="en-GB"/>
        </w:rPr>
        <w:t>if</w:t>
      </w:r>
      <w:r w:rsidR="00866D0E" w:rsidRPr="003C6A66">
        <w:rPr>
          <w:bCs/>
          <w:lang w:val="en-GB"/>
        </w:rPr>
        <w:t xml:space="preserve"> </w:t>
      </w:r>
      <w:r w:rsidR="00535EF9" w:rsidRPr="003C6A66">
        <w:rPr>
          <w:bCs/>
          <w:lang w:val="en-GB"/>
        </w:rPr>
        <w:t xml:space="preserve">the </w:t>
      </w:r>
      <w:r w:rsidR="009F051A" w:rsidRPr="003C6A66">
        <w:rPr>
          <w:bCs/>
          <w:lang w:val="en-GB"/>
        </w:rPr>
        <w:t>association between exposure and outcome</w:t>
      </w:r>
      <w:r w:rsidR="00A152C6" w:rsidRPr="003C6A66">
        <w:rPr>
          <w:bCs/>
          <w:lang w:val="en-GB"/>
        </w:rPr>
        <w:t xml:space="preserve"> </w:t>
      </w:r>
      <w:r w:rsidR="00535EF9" w:rsidRPr="003C6A66">
        <w:rPr>
          <w:bCs/>
          <w:lang w:val="en-GB"/>
        </w:rPr>
        <w:t>was</w:t>
      </w:r>
      <w:r w:rsidR="00B6522D">
        <w:rPr>
          <w:bCs/>
          <w:lang w:val="en-GB"/>
        </w:rPr>
        <w:t xml:space="preserve"> statistically</w:t>
      </w:r>
      <w:r w:rsidR="00535EF9" w:rsidRPr="003C6A66">
        <w:rPr>
          <w:bCs/>
          <w:lang w:val="en-GB"/>
        </w:rPr>
        <w:t xml:space="preserve"> significant</w:t>
      </w:r>
      <w:r w:rsidR="00070EE2" w:rsidRPr="00070EE2">
        <w:rPr>
          <w:bCs/>
          <w:lang w:val="en-GB"/>
        </w:rPr>
        <w:t xml:space="preserve"> </w:t>
      </w:r>
      <w:r w:rsidR="00070EE2" w:rsidRPr="003C6A66">
        <w:rPr>
          <w:bCs/>
          <w:lang w:val="en-GB"/>
        </w:rPr>
        <w:t>in the main model</w:t>
      </w:r>
      <w:r w:rsidR="009F051A" w:rsidRPr="003C6A66">
        <w:rPr>
          <w:bCs/>
          <w:lang w:val="en-GB"/>
        </w:rPr>
        <w:t>.</w:t>
      </w:r>
    </w:p>
    <w:p w14:paraId="356D783E" w14:textId="1A06EDBF" w:rsidR="001605AD" w:rsidRPr="003C6A66" w:rsidRDefault="00610C2E" w:rsidP="00801558">
      <w:pPr>
        <w:spacing w:line="276" w:lineRule="auto"/>
        <w:jc w:val="both"/>
        <w:rPr>
          <w:bCs/>
          <w:lang w:val="en-GB"/>
        </w:rPr>
      </w:pPr>
      <w:r w:rsidRPr="003C6A66">
        <w:rPr>
          <w:bCs/>
          <w:lang w:val="en-GB"/>
        </w:rPr>
        <w:t xml:space="preserve">We furthermore considered </w:t>
      </w:r>
      <w:r w:rsidR="00426C08" w:rsidRPr="003C6A66">
        <w:rPr>
          <w:bCs/>
          <w:lang w:val="en-GB"/>
        </w:rPr>
        <w:t>effect modification by age group, educational level</w:t>
      </w:r>
      <w:r w:rsidR="001F19C5">
        <w:rPr>
          <w:bCs/>
          <w:lang w:val="en-GB"/>
        </w:rPr>
        <w:t>,</w:t>
      </w:r>
      <w:r w:rsidR="00426C08" w:rsidRPr="003C6A66">
        <w:rPr>
          <w:bCs/>
          <w:lang w:val="en-GB"/>
        </w:rPr>
        <w:t xml:space="preserve"> and quartiles of the </w:t>
      </w:r>
      <w:r w:rsidR="00CB1667" w:rsidRPr="003C6A66">
        <w:rPr>
          <w:bCs/>
          <w:lang w:val="en-GB"/>
        </w:rPr>
        <w:t>neighbourhood</w:t>
      </w:r>
      <w:r w:rsidR="00426C08" w:rsidRPr="003C6A66">
        <w:rPr>
          <w:bCs/>
          <w:lang w:val="en-GB"/>
        </w:rPr>
        <w:t xml:space="preserve"> socioeconomic position (SEP) index. </w:t>
      </w:r>
      <w:r w:rsidR="00823C87" w:rsidRPr="00F20926">
        <w:rPr>
          <w:bCs/>
          <w:color w:val="000000"/>
          <w:lang w:val="en-GB"/>
        </w:rPr>
        <w:t>In age-stratified analyses we used 65 years old as cut-off point,</w:t>
      </w:r>
      <w:r w:rsidR="00821CFE" w:rsidRPr="00F20926">
        <w:rPr>
          <w:bCs/>
          <w:color w:val="000000"/>
          <w:lang w:val="en-GB"/>
        </w:rPr>
        <w:t xml:space="preserve"> except</w:t>
      </w:r>
      <w:r w:rsidR="00823C87" w:rsidRPr="00F20926">
        <w:rPr>
          <w:bCs/>
          <w:color w:val="000000"/>
          <w:lang w:val="en-GB"/>
        </w:rPr>
        <w:t xml:space="preserve"> </w:t>
      </w:r>
      <w:r w:rsidR="00823C87" w:rsidRPr="00F20926">
        <w:rPr>
          <w:color w:val="000000"/>
          <w:lang w:val="en-GB"/>
        </w:rPr>
        <w:t xml:space="preserve">for breast cancer mortality, </w:t>
      </w:r>
      <w:r w:rsidR="00821CFE" w:rsidRPr="00F20926">
        <w:rPr>
          <w:color w:val="000000"/>
          <w:lang w:val="en-GB"/>
        </w:rPr>
        <w:t xml:space="preserve">where </w:t>
      </w:r>
      <w:r w:rsidR="00823C87" w:rsidRPr="00F20926">
        <w:rPr>
          <w:color w:val="000000"/>
          <w:lang w:val="en-GB"/>
        </w:rPr>
        <w:t xml:space="preserve">we established 50 years old as a proxy to distinguish between pre- and postmenopausal women. Exposure to green spaces could influence physical activity and BMI, and BMI may have a different effect on breast cancer risk according to menopausal status at diagnosis </w:t>
      </w:r>
      <w:r w:rsidR="00823C87" w:rsidRPr="00F20926">
        <w:rPr>
          <w:color w:val="000000"/>
          <w:lang w:val="en-GB"/>
        </w:rPr>
        <w:fldChar w:fldCharType="begin" w:fldLock="1"/>
      </w:r>
      <w:r w:rsidR="00554021" w:rsidRPr="00F20926">
        <w:rPr>
          <w:color w:val="000000"/>
          <w:lang w:val="en-GB"/>
        </w:rPr>
        <w:instrText>ADDIN CSL_CITATION {"citationItems":[{"id":"ITEM-1","itemData":{"DOI":"10.1016/S0140-6736(08)60269-X","ISSN":"0140-6736","author":[{"dropping-particle":"","family":"Renehan","given":"Andrew G","non-dropping-particle":"","parse-names":false,"suffix":""},{"dropping-particle":"","family":"Tyson","given":"Margaret","non-dropping-particle":"","parse-names":false,"suffix":""},{"dropping-particle":"","family":"Egger","given":"Matthias","non-dropping-particle":"","parse-names":false,"suffix":""},{"dropping-particle":"","family":"Heller","given":"Richard F","non-dropping-particle":"","parse-names":false,"suffix":""},{"dropping-particle":"","family":"Zwahlen","given":"Marcel","non-dropping-particle":"","parse-names":false,"suffix":""}],"container-title":"The Lancet","id":"ITEM-1","issue":"9612","issued":{"date-parts":[["2008","2","16"]]},"note":"doi: 10.1016/S0140-6736(08)60269-X","page":"569-578","publisher":"Elsevier","title":"Body-mass index and incidence of cancer: a systematic review and meta-analysis of prospective observational studies","type":"article-journal","volume":"371"},"uris":["http://www.mendeley.com/documents/?uuid=2440fa9b-02e1-4d96-8b4d-be4e443014f8"]},{"id":"ITEM-2","itemData":{"DOI":"10.1007/s10549-015-3447-7","ISSN":"1573-7217","abstract":"We aimed to estimate the proportion of Dutch postmenopausal breast cancer cases in 2010 that is attributable to lifestyle-related risk factors. We calculated population attributable fractions (PAFs) of potentially modifiable risk factors for postmenopausal breast cancer in Dutch women aged &gt;50 in 2010. First, age-specific PAFs were calculated for each risk factor, based on their relative risks for postmenopausal breast cancer (from meta-analyses) and age-specific prevalence in the population (from national surveys) around the year 2000, assuming a latency period of 10 years. To obtain the overall PAF, age-specific PAFs were summed in a weighted manner, using the age-specific breast cancer incidence rates (2010) as weights. 95 % confidence intervals for PAF estimates were derived by Monte Carlo simulations. Of Dutch women &gt;40 years, in 2000, 51 % were overweight/obese, 55 % physically inactive (&lt;5 days/week 30 min activity), 75 % regularly consumed alcohol, 42 % ever smoked cigarettes and 79 % had a low-fibre intake (&lt;3.4 g/1000 kJ/day). These factors combined had a PAF of 25.7 % (95 % CI 24.2–27.2), corresponding to 2,665 Dutch postmenopausal breast cancer cases in 2010. PAFs were 8.8 % (95 % CI 6.3–11.3) for overweight/obesity, 6.6 % (95 % CI 5.2–8.0) for alcohol consumption, 5.5 % (95 % CI 4.0–7.0) for physical inactivity, 4.6 % (95 % CI 3.3–6.0) for smoking and 3.2 % (95 % CI 1.6–4.8) for low-fibre intake. Our findings imply that modifiable risk factors are jointly responsible for approximately one out of four Dutch postmenopausal breast cancer cases. This suggests that incidence rates can be lowered substantially by living a more healthy lifestyle.","author":[{"dropping-particle":"","family":"Gemert","given":"W A","non-dropping-particle":"van","parse-names":false,"suffix":""},{"dropping-particle":"","family":"Lanting","given":"C I","non-dropping-particle":"","parse-names":false,"suffix":""},{"dropping-particle":"","family":"Goldbohm","given":"R A","non-dropping-particle":"","parse-names":false,"suffix":""},{"dropping-particle":"","family":"Brandt","given":"P A","non-dropping-particle":"van den","parse-names":false,"suffix":""},{"dropping-particle":"","family":"Grooters","given":"H G","non-dropping-particle":"","parse-names":false,"suffix":""},{"dropping-particle":"","family":"Kampman","given":"E","non-dropping-particle":"","parse-names":false,"suffix":""},{"dropping-particle":"","family":"Kiemeney","given":"L A L M","non-dropping-particle":"","parse-names":false,"suffix":""},{"dropping-particle":"","family":"Leeuwen","given":"F E","non-dropping-particle":"van","parse-names":false,"suffix":""},{"dropping-particle":"","family":"Monninkhof","given":"E M","non-dropping-particle":"","parse-names":false,"suffix":""},{"dropping-particle":"","family":"Vries","given":"E","non-dropping-particle":"de","parse-names":false,"suffix":""},{"dropping-particle":"","family":"Peeters","given":"P H","non-dropping-particle":"","parse-names":false,"suffix":""},{"dropping-particle":"","family":"Elias","given":"S G","non-dropping-particle":"","parse-names":false,"suffix":""}],"container-title":"Breast Cancer Research and Treatment","id":"ITEM-2","issue":"1","issued":{"date-parts":[["2015"]]},"page":"155-162","title":"The proportion of postmenopausal breast cancer cases in the Netherlands attributable to lifestyle-related risk factors","type":"article-journal","volume":"152"},"uris":["http://www.mendeley.com/documents/?uuid=58e46eac-a910-46fd-b8eb-f0be867626dd"]}],"mendeley":{"formattedCitation":"(Renehan et al., 2008; van Gemert et al., 2015)","plainTextFormattedCitation":"(Renehan et al., 2008; van Gemert et al., 2015)","previouslyFormattedCitation":"(Renehan et al., 2008; van Gemert et al., 2015)"},"properties":{"noteIndex":0},"schema":"https://github.com/citation-style-language/schema/raw/master/csl-citation.json"}</w:instrText>
      </w:r>
      <w:r w:rsidR="00823C87" w:rsidRPr="00F20926">
        <w:rPr>
          <w:color w:val="000000"/>
          <w:lang w:val="en-GB"/>
        </w:rPr>
        <w:fldChar w:fldCharType="separate"/>
      </w:r>
      <w:r w:rsidR="00823C87" w:rsidRPr="00F20926">
        <w:rPr>
          <w:noProof/>
          <w:color w:val="000000"/>
          <w:lang w:val="en-US"/>
        </w:rPr>
        <w:t>(Renehan et al., 2008; van Gemert et al., 2015)</w:t>
      </w:r>
      <w:r w:rsidR="00823C87" w:rsidRPr="00F20926">
        <w:rPr>
          <w:color w:val="000000"/>
          <w:lang w:val="en-GB"/>
        </w:rPr>
        <w:fldChar w:fldCharType="end"/>
      </w:r>
      <w:r w:rsidR="00823C87" w:rsidRPr="00F20926">
        <w:rPr>
          <w:color w:val="000000"/>
          <w:lang w:val="en-US"/>
        </w:rPr>
        <w:t xml:space="preserve">. </w:t>
      </w:r>
      <w:r w:rsidR="00426C08" w:rsidRPr="003C6A66">
        <w:rPr>
          <w:bCs/>
          <w:lang w:val="en-GB"/>
        </w:rPr>
        <w:t>We</w:t>
      </w:r>
      <w:r w:rsidR="00D02AC0" w:rsidRPr="003C6A66">
        <w:rPr>
          <w:bCs/>
          <w:lang w:val="en-GB"/>
        </w:rPr>
        <w:t xml:space="preserve"> built a model that</w:t>
      </w:r>
      <w:r w:rsidR="00426C08" w:rsidRPr="003C6A66">
        <w:rPr>
          <w:bCs/>
          <w:lang w:val="en-GB"/>
        </w:rPr>
        <w:t xml:space="preserve"> </w:t>
      </w:r>
      <w:r w:rsidR="00210989" w:rsidRPr="003C6A66">
        <w:rPr>
          <w:bCs/>
          <w:lang w:val="en-GB"/>
        </w:rPr>
        <w:t xml:space="preserve">included an interaction term between the exposure and the effect </w:t>
      </w:r>
      <w:r w:rsidR="00186F4A" w:rsidRPr="003C6A66">
        <w:rPr>
          <w:bCs/>
          <w:lang w:val="en-GB"/>
        </w:rPr>
        <w:t>modifier,</w:t>
      </w:r>
      <w:r w:rsidR="00210989" w:rsidRPr="003C6A66">
        <w:rPr>
          <w:bCs/>
          <w:lang w:val="en-GB"/>
        </w:rPr>
        <w:t xml:space="preserve"> and we evaluated the improvement in the goodness-of-fit</w:t>
      </w:r>
      <w:r w:rsidR="00D02AC0" w:rsidRPr="003C6A66">
        <w:rPr>
          <w:bCs/>
          <w:lang w:val="en-GB"/>
        </w:rPr>
        <w:t xml:space="preserve"> of this model</w:t>
      </w:r>
      <w:r w:rsidR="000C4A61" w:rsidRPr="003C6A66">
        <w:rPr>
          <w:bCs/>
          <w:lang w:val="en-GB"/>
        </w:rPr>
        <w:t xml:space="preserve"> in predicting the outcome</w:t>
      </w:r>
      <w:r w:rsidR="00004FDC" w:rsidRPr="003C6A66">
        <w:rPr>
          <w:bCs/>
          <w:lang w:val="en-GB"/>
        </w:rPr>
        <w:t>s</w:t>
      </w:r>
      <w:r w:rsidR="00210989" w:rsidRPr="003C6A66">
        <w:rPr>
          <w:bCs/>
          <w:lang w:val="en-GB"/>
        </w:rPr>
        <w:t xml:space="preserve"> </w:t>
      </w:r>
      <w:r w:rsidR="00186F4A" w:rsidRPr="003C6A66">
        <w:rPr>
          <w:bCs/>
          <w:lang w:val="en-GB"/>
        </w:rPr>
        <w:t xml:space="preserve">compared to our main model </w:t>
      </w:r>
      <w:r w:rsidR="009C48F0">
        <w:rPr>
          <w:bCs/>
          <w:lang w:val="en-GB"/>
        </w:rPr>
        <w:t xml:space="preserve">with </w:t>
      </w:r>
      <w:r w:rsidR="00186F4A" w:rsidRPr="003C6A66">
        <w:rPr>
          <w:bCs/>
          <w:lang w:val="en-GB"/>
        </w:rPr>
        <w:t>LRT. Furthermore, we stratified our analyses by</w:t>
      </w:r>
      <w:r w:rsidR="00DC70CD" w:rsidRPr="003C6A66">
        <w:rPr>
          <w:bCs/>
          <w:lang w:val="en-GB"/>
        </w:rPr>
        <w:t xml:space="preserve"> </w:t>
      </w:r>
      <w:r w:rsidR="00186F4A" w:rsidRPr="003C6A66">
        <w:rPr>
          <w:bCs/>
          <w:lang w:val="en-GB"/>
        </w:rPr>
        <w:t xml:space="preserve">each </w:t>
      </w:r>
      <w:r w:rsidR="00DC70CD" w:rsidRPr="003C6A66">
        <w:rPr>
          <w:bCs/>
          <w:lang w:val="en-GB"/>
        </w:rPr>
        <w:t>sociodemographic indicator</w:t>
      </w:r>
      <w:r w:rsidR="00186F4A" w:rsidRPr="003C6A66">
        <w:rPr>
          <w:bCs/>
          <w:lang w:val="en-GB"/>
        </w:rPr>
        <w:t>.</w:t>
      </w:r>
    </w:p>
    <w:p w14:paraId="543C3280" w14:textId="701A1B9C" w:rsidR="00C940C0" w:rsidRPr="003C6A66" w:rsidRDefault="00C940C0" w:rsidP="00801558">
      <w:pPr>
        <w:spacing w:line="276" w:lineRule="auto"/>
        <w:jc w:val="both"/>
        <w:rPr>
          <w:bCs/>
          <w:lang w:val="en-GB"/>
        </w:rPr>
      </w:pPr>
      <w:r w:rsidRPr="003C6A66">
        <w:rPr>
          <w:bCs/>
          <w:lang w:val="en-GB"/>
        </w:rPr>
        <w:t>In sensitivity analyses</w:t>
      </w:r>
      <w:r w:rsidR="009878DC">
        <w:rPr>
          <w:bCs/>
          <w:lang w:val="en-GB"/>
        </w:rPr>
        <w:t>,</w:t>
      </w:r>
      <w:r w:rsidRPr="003C6A66">
        <w:rPr>
          <w:bCs/>
          <w:lang w:val="en-GB"/>
        </w:rPr>
        <w:t xml:space="preserve"> we </w:t>
      </w:r>
      <w:r w:rsidR="00AE08E0" w:rsidRPr="003C6A66">
        <w:rPr>
          <w:bCs/>
          <w:lang w:val="en-GB"/>
        </w:rPr>
        <w:t xml:space="preserve">evaluated </w:t>
      </w:r>
      <w:r w:rsidR="00726F2E" w:rsidRPr="003C6A66">
        <w:rPr>
          <w:bCs/>
          <w:lang w:val="en-GB"/>
        </w:rPr>
        <w:t xml:space="preserve">the </w:t>
      </w:r>
      <w:r w:rsidR="008E1F38" w:rsidRPr="003C6A66">
        <w:rPr>
          <w:bCs/>
          <w:lang w:val="en-GB"/>
        </w:rPr>
        <w:t xml:space="preserve">robustness of our </w:t>
      </w:r>
      <w:r w:rsidR="00E4317B" w:rsidRPr="003C6A66">
        <w:rPr>
          <w:bCs/>
          <w:lang w:val="en-GB"/>
        </w:rPr>
        <w:t>results by</w:t>
      </w:r>
      <w:r w:rsidR="00F87C71">
        <w:rPr>
          <w:bCs/>
          <w:lang w:val="en-GB"/>
        </w:rPr>
        <w:t xml:space="preserve"> </w:t>
      </w:r>
      <w:r w:rsidR="00584172">
        <w:rPr>
          <w:bCs/>
          <w:lang w:val="en-GB"/>
        </w:rPr>
        <w:t>a</w:t>
      </w:r>
      <w:r w:rsidR="00F87C71">
        <w:rPr>
          <w:bCs/>
          <w:lang w:val="en-GB"/>
        </w:rPr>
        <w:t>) using different buffer sizes</w:t>
      </w:r>
      <w:r w:rsidR="00F01F8A">
        <w:rPr>
          <w:bCs/>
          <w:lang w:val="en-GB"/>
        </w:rPr>
        <w:t xml:space="preserve"> of surrounding greenness </w:t>
      </w:r>
      <w:r w:rsidR="00A168AF" w:rsidRPr="00F20926">
        <w:rPr>
          <w:bCs/>
          <w:lang w:val="en-GB"/>
        </w:rPr>
        <w:t xml:space="preserve">and green areas </w:t>
      </w:r>
      <w:r w:rsidR="00F01F8A" w:rsidRPr="00F20926">
        <w:rPr>
          <w:bCs/>
          <w:lang w:val="en-GB"/>
        </w:rPr>
        <w:t>(</w:t>
      </w:r>
      <w:r w:rsidR="00CB7A43" w:rsidRPr="00F20926">
        <w:rPr>
          <w:bCs/>
          <w:lang w:val="en-GB"/>
        </w:rPr>
        <w:t>5</w:t>
      </w:r>
      <w:r w:rsidR="00F01F8A" w:rsidRPr="00F20926">
        <w:rPr>
          <w:bCs/>
          <w:lang w:val="en-GB"/>
        </w:rPr>
        <w:t>00</w:t>
      </w:r>
      <w:r w:rsidR="00F01F8A" w:rsidRPr="00CB7A43">
        <w:rPr>
          <w:bCs/>
          <w:lang w:val="en-GB"/>
        </w:rPr>
        <w:t xml:space="preserve"> m,</w:t>
      </w:r>
      <w:r w:rsidR="00F01F8A">
        <w:rPr>
          <w:bCs/>
          <w:lang w:val="en-GB"/>
        </w:rPr>
        <w:t xml:space="preserve"> 1,000 m)</w:t>
      </w:r>
      <w:r w:rsidR="008B7E39">
        <w:rPr>
          <w:bCs/>
          <w:lang w:val="en-GB"/>
        </w:rPr>
        <w:t>;</w:t>
      </w:r>
      <w:r w:rsidR="00392862">
        <w:rPr>
          <w:bCs/>
          <w:lang w:val="en-GB"/>
        </w:rPr>
        <w:t xml:space="preserve"> </w:t>
      </w:r>
      <w:r w:rsidR="00F87C71">
        <w:rPr>
          <w:bCs/>
          <w:lang w:val="en-GB"/>
        </w:rPr>
        <w:t>and</w:t>
      </w:r>
      <w:r w:rsidR="00577C21">
        <w:rPr>
          <w:bCs/>
          <w:lang w:val="en-GB"/>
        </w:rPr>
        <w:t xml:space="preserve"> </w:t>
      </w:r>
      <w:r w:rsidR="00F30E51" w:rsidRPr="003C6A66">
        <w:rPr>
          <w:bCs/>
          <w:lang w:val="en-GB"/>
        </w:rPr>
        <w:t xml:space="preserve">limiting our analyses </w:t>
      </w:r>
      <w:r w:rsidR="00884A68" w:rsidRPr="003C6A66">
        <w:rPr>
          <w:bCs/>
          <w:lang w:val="en-GB"/>
        </w:rPr>
        <w:t>to</w:t>
      </w:r>
      <w:r w:rsidR="00E4317B" w:rsidRPr="003C6A66">
        <w:rPr>
          <w:bCs/>
          <w:lang w:val="en-GB"/>
        </w:rPr>
        <w:t xml:space="preserve"> </w:t>
      </w:r>
      <w:r w:rsidR="00591EE6">
        <w:rPr>
          <w:bCs/>
          <w:lang w:val="en-GB"/>
        </w:rPr>
        <w:t>b</w:t>
      </w:r>
      <w:r w:rsidR="00E02FAA" w:rsidRPr="003C6A66">
        <w:rPr>
          <w:bCs/>
          <w:lang w:val="en-GB"/>
        </w:rPr>
        <w:t xml:space="preserve">) </w:t>
      </w:r>
      <w:r w:rsidR="001D34B3" w:rsidRPr="003C6A66">
        <w:rPr>
          <w:bCs/>
          <w:lang w:val="en-GB"/>
        </w:rPr>
        <w:t xml:space="preserve">individuals who did not move from their </w:t>
      </w:r>
      <w:r w:rsidR="002B2879" w:rsidRPr="003C6A66">
        <w:rPr>
          <w:bCs/>
          <w:lang w:val="en-GB"/>
        </w:rPr>
        <w:t>census tract</w:t>
      </w:r>
      <w:r w:rsidR="00F30E51" w:rsidRPr="003C6A66">
        <w:rPr>
          <w:bCs/>
          <w:lang w:val="en-GB"/>
        </w:rPr>
        <w:t xml:space="preserve"> during the</w:t>
      </w:r>
      <w:r w:rsidR="001D34B3" w:rsidRPr="003C6A66">
        <w:rPr>
          <w:bCs/>
          <w:lang w:val="en-GB"/>
        </w:rPr>
        <w:t xml:space="preserve"> 10 years prior to baseline (1991-2001)</w:t>
      </w:r>
      <w:r w:rsidR="002375BF" w:rsidRPr="003C6A66">
        <w:rPr>
          <w:bCs/>
          <w:lang w:val="en-GB"/>
        </w:rPr>
        <w:t xml:space="preserve"> and therefore were exposed at least 10 years</w:t>
      </w:r>
      <w:r w:rsidR="004825E7" w:rsidRPr="003C6A66">
        <w:rPr>
          <w:bCs/>
          <w:lang w:val="en-GB"/>
        </w:rPr>
        <w:t xml:space="preserve"> to </w:t>
      </w:r>
      <w:r w:rsidR="009A004C">
        <w:rPr>
          <w:bCs/>
          <w:lang w:val="en-GB"/>
        </w:rPr>
        <w:t xml:space="preserve">the same </w:t>
      </w:r>
      <w:r w:rsidR="004825E7" w:rsidRPr="003C6A66">
        <w:rPr>
          <w:bCs/>
          <w:lang w:val="en-GB"/>
        </w:rPr>
        <w:t>residential green</w:t>
      </w:r>
      <w:r w:rsidR="00286832">
        <w:rPr>
          <w:bCs/>
          <w:lang w:val="en-GB"/>
        </w:rPr>
        <w:t xml:space="preserve"> (</w:t>
      </w:r>
      <w:r w:rsidR="00286832" w:rsidRPr="00F20926">
        <w:rPr>
          <w:bCs/>
          <w:lang w:val="en-GB"/>
        </w:rPr>
        <w:t>referred to as non-movers</w:t>
      </w:r>
      <w:r w:rsidR="00286832">
        <w:rPr>
          <w:bCs/>
          <w:lang w:val="en-GB"/>
        </w:rPr>
        <w:t>)</w:t>
      </w:r>
      <w:r w:rsidR="00E02FAA" w:rsidRPr="003C6A66">
        <w:rPr>
          <w:bCs/>
          <w:lang w:val="en-GB"/>
        </w:rPr>
        <w:t>;</w:t>
      </w:r>
      <w:r w:rsidR="00884A68" w:rsidRPr="003C6A66">
        <w:rPr>
          <w:bCs/>
          <w:lang w:val="en-GB"/>
        </w:rPr>
        <w:t xml:space="preserve"> </w:t>
      </w:r>
      <w:r w:rsidR="00591EE6">
        <w:rPr>
          <w:bCs/>
          <w:lang w:val="en-GB"/>
        </w:rPr>
        <w:t>c</w:t>
      </w:r>
      <w:r w:rsidR="00E02FAA" w:rsidRPr="003C6A66">
        <w:rPr>
          <w:bCs/>
          <w:lang w:val="en-GB"/>
        </w:rPr>
        <w:t xml:space="preserve">) </w:t>
      </w:r>
      <w:r w:rsidR="00884A68" w:rsidRPr="003C6A66">
        <w:rPr>
          <w:bCs/>
          <w:lang w:val="en-GB"/>
        </w:rPr>
        <w:t xml:space="preserve">residents originating from </w:t>
      </w:r>
      <w:r w:rsidR="00F30E51" w:rsidRPr="003C6A66">
        <w:rPr>
          <w:bCs/>
          <w:lang w:val="en-GB"/>
        </w:rPr>
        <w:t>Belgi</w:t>
      </w:r>
      <w:r w:rsidR="00884A68" w:rsidRPr="003C6A66">
        <w:rPr>
          <w:bCs/>
          <w:lang w:val="en-GB"/>
        </w:rPr>
        <w:t>um</w:t>
      </w:r>
      <w:r w:rsidR="00E02FAA" w:rsidRPr="003C6A66">
        <w:rPr>
          <w:bCs/>
          <w:lang w:val="en-GB"/>
        </w:rPr>
        <w:t xml:space="preserve">; </w:t>
      </w:r>
      <w:r w:rsidR="00591EE6">
        <w:rPr>
          <w:bCs/>
          <w:lang w:val="en-GB"/>
        </w:rPr>
        <w:t>d</w:t>
      </w:r>
      <w:r w:rsidR="00E02FAA" w:rsidRPr="003C6A66">
        <w:rPr>
          <w:bCs/>
          <w:lang w:val="en-GB"/>
        </w:rPr>
        <w:t>) a healthy subpopulation, i.e., people who reported good</w:t>
      </w:r>
      <w:r w:rsidR="00DE7F21">
        <w:rPr>
          <w:bCs/>
          <w:lang w:val="en-GB"/>
        </w:rPr>
        <w:t xml:space="preserve"> and very good</w:t>
      </w:r>
      <w:r w:rsidR="00E02FAA" w:rsidRPr="003C6A66">
        <w:rPr>
          <w:bCs/>
          <w:lang w:val="en-GB"/>
        </w:rPr>
        <w:t xml:space="preserve"> self-perceived health</w:t>
      </w:r>
      <w:r w:rsidR="009C030E" w:rsidRPr="003C6A66">
        <w:rPr>
          <w:bCs/>
          <w:lang w:val="en-GB"/>
        </w:rPr>
        <w:t xml:space="preserve"> and not having functional limitations</w:t>
      </w:r>
      <w:r w:rsidR="0009615A" w:rsidRPr="003C6A66">
        <w:rPr>
          <w:bCs/>
          <w:lang w:val="en-GB"/>
        </w:rPr>
        <w:t xml:space="preserve"> at baseline</w:t>
      </w:r>
      <w:r w:rsidR="00DA7F80" w:rsidRPr="003C6A66">
        <w:rPr>
          <w:bCs/>
          <w:lang w:val="en-GB"/>
        </w:rPr>
        <w:t xml:space="preserve">; and </w:t>
      </w:r>
      <w:r w:rsidR="00591EE6">
        <w:rPr>
          <w:bCs/>
          <w:lang w:val="en-GB"/>
        </w:rPr>
        <w:t>e</w:t>
      </w:r>
      <w:r w:rsidR="00DA7F80" w:rsidRPr="003C6A66">
        <w:rPr>
          <w:bCs/>
          <w:lang w:val="en-GB"/>
        </w:rPr>
        <w:t xml:space="preserve">) individuals residing </w:t>
      </w:r>
      <w:r w:rsidR="00C84E6D" w:rsidRPr="003C6A66">
        <w:rPr>
          <w:bCs/>
          <w:lang w:val="en-GB"/>
        </w:rPr>
        <w:t>in the city</w:t>
      </w:r>
      <w:r w:rsidR="00327FF3" w:rsidRPr="003C6A66">
        <w:rPr>
          <w:bCs/>
          <w:lang w:val="en-GB"/>
        </w:rPr>
        <w:t>,</w:t>
      </w:r>
      <w:r w:rsidR="00C84E6D" w:rsidRPr="003C6A66">
        <w:rPr>
          <w:bCs/>
          <w:lang w:val="en-GB"/>
        </w:rPr>
        <w:t xml:space="preserve"> i.e., excluding residents from the commuting zones</w:t>
      </w:r>
      <w:r w:rsidR="00E02FAA" w:rsidRPr="003C6A66">
        <w:rPr>
          <w:bCs/>
          <w:lang w:val="en-GB"/>
        </w:rPr>
        <w:t>.</w:t>
      </w:r>
    </w:p>
    <w:p w14:paraId="30A682C4" w14:textId="46D5908E" w:rsidR="00642752" w:rsidRPr="003C6A66" w:rsidRDefault="00642752" w:rsidP="00801558">
      <w:pPr>
        <w:spacing w:line="276" w:lineRule="auto"/>
        <w:jc w:val="both"/>
        <w:rPr>
          <w:bCs/>
          <w:lang w:val="en-GB"/>
        </w:rPr>
      </w:pPr>
      <w:r w:rsidRPr="003C6A66">
        <w:rPr>
          <w:bCs/>
          <w:lang w:val="en-GB"/>
        </w:rPr>
        <w:t xml:space="preserve">All </w:t>
      </w:r>
      <w:r w:rsidR="007D433B" w:rsidRPr="003C6A66">
        <w:rPr>
          <w:bCs/>
          <w:lang w:val="en-GB"/>
        </w:rPr>
        <w:t>the</w:t>
      </w:r>
      <w:r w:rsidR="00821699" w:rsidRPr="003C6A66">
        <w:rPr>
          <w:bCs/>
          <w:lang w:val="en-GB"/>
        </w:rPr>
        <w:t xml:space="preserve"> statistical</w:t>
      </w:r>
      <w:r w:rsidR="007D433B" w:rsidRPr="003C6A66">
        <w:rPr>
          <w:bCs/>
          <w:lang w:val="en-GB"/>
        </w:rPr>
        <w:t xml:space="preserve"> </w:t>
      </w:r>
      <w:r w:rsidRPr="003C6A66">
        <w:rPr>
          <w:bCs/>
          <w:lang w:val="en-GB"/>
        </w:rPr>
        <w:t xml:space="preserve">analyses were conducted using </w:t>
      </w:r>
      <w:r w:rsidR="00D46FDA" w:rsidRPr="003C6A66">
        <w:rPr>
          <w:bCs/>
          <w:lang w:val="en-GB"/>
        </w:rPr>
        <w:t>the packages</w:t>
      </w:r>
      <w:r w:rsidR="0090273A" w:rsidRPr="003C6A66">
        <w:rPr>
          <w:bCs/>
          <w:lang w:val="en-GB"/>
        </w:rPr>
        <w:t xml:space="preserve"> </w:t>
      </w:r>
      <w:proofErr w:type="spellStart"/>
      <w:r w:rsidR="00D46FDA" w:rsidRPr="003C6A66">
        <w:rPr>
          <w:bCs/>
          <w:i/>
          <w:iCs/>
          <w:lang w:val="en-GB"/>
        </w:rPr>
        <w:t>coxme</w:t>
      </w:r>
      <w:proofErr w:type="spellEnd"/>
      <w:r w:rsidR="00D46FDA" w:rsidRPr="003C6A66">
        <w:rPr>
          <w:bCs/>
          <w:lang w:val="en-GB"/>
        </w:rPr>
        <w:t xml:space="preserve"> </w:t>
      </w:r>
      <w:r w:rsidR="00D46FDA" w:rsidRPr="003C6A66">
        <w:rPr>
          <w:bCs/>
          <w:lang w:val="en-GB"/>
        </w:rPr>
        <w:fldChar w:fldCharType="begin" w:fldLock="1"/>
      </w:r>
      <w:r w:rsidR="00525CEF">
        <w:rPr>
          <w:bCs/>
          <w:lang w:val="en-GB"/>
        </w:rPr>
        <w:instrText>ADDIN CSL_CITATION {"citationItems":[{"id":"ITEM-1","itemData":{"author":[{"dropping-particle":"","family":"Therneau","given":"Terry M.","non-dropping-particle":"","parse-names":false,"suffix":""}],"id":"ITEM-1","issued":{"date-parts":[["2020"]]},"title":"coxme: Mixed Effects Cox Models","type":"article"},"uris":["http://www.mendeley.com/documents/?uuid=81ff1b40-fd63-44d4-a790-cfbd51cd4563"]}],"mendeley":{"formattedCitation":"(Therneau, 2020)","plainTextFormattedCitation":"(Therneau, 2020)","previouslyFormattedCitation":"(Therneau, 2020)"},"properties":{"noteIndex":0},"schema":"https://github.com/citation-style-language/schema/raw/master/csl-citation.json"}</w:instrText>
      </w:r>
      <w:r w:rsidR="00D46FDA" w:rsidRPr="003C6A66">
        <w:rPr>
          <w:bCs/>
          <w:lang w:val="en-GB"/>
        </w:rPr>
        <w:fldChar w:fldCharType="separate"/>
      </w:r>
      <w:r w:rsidR="00D10DDE" w:rsidRPr="00D10DDE">
        <w:rPr>
          <w:bCs/>
          <w:noProof/>
          <w:lang w:val="en-GB"/>
        </w:rPr>
        <w:t>(Therneau, 2020)</w:t>
      </w:r>
      <w:r w:rsidR="00D46FDA" w:rsidRPr="003C6A66">
        <w:rPr>
          <w:bCs/>
          <w:lang w:val="en-GB"/>
        </w:rPr>
        <w:fldChar w:fldCharType="end"/>
      </w:r>
      <w:r w:rsidR="00D46FDA" w:rsidRPr="003C6A66">
        <w:rPr>
          <w:bCs/>
          <w:lang w:val="en-GB"/>
        </w:rPr>
        <w:t xml:space="preserve">, </w:t>
      </w:r>
      <w:r w:rsidR="00D46FDA" w:rsidRPr="003C6A66">
        <w:rPr>
          <w:bCs/>
          <w:i/>
          <w:iCs/>
          <w:lang w:val="en-GB"/>
        </w:rPr>
        <w:t>splines</w:t>
      </w:r>
      <w:r w:rsidR="00D46FDA" w:rsidRPr="003C6A66">
        <w:rPr>
          <w:bCs/>
          <w:lang w:val="en-GB"/>
        </w:rPr>
        <w:t xml:space="preserve"> </w:t>
      </w:r>
      <w:r w:rsidR="008A48FA" w:rsidRPr="003C6A66">
        <w:rPr>
          <w:bCs/>
          <w:lang w:val="en-GB"/>
        </w:rPr>
        <w:fldChar w:fldCharType="begin" w:fldLock="1"/>
      </w:r>
      <w:r w:rsidR="00525CEF">
        <w:rPr>
          <w:bCs/>
          <w:lang w:val="en-GB"/>
        </w:rP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computing","type":"article"},"uris":["http://www.mendeley.com/documents/?uuid=12096cd0-fb38-4a73-b6a1-45a5a20f6b3d"]}],"mendeley":{"formattedCitation":"(R Core Team, 2020)","plainTextFormattedCitation":"(R Core Team, 2020)","previouslyFormattedCitation":"(R Core Team, 2020)"},"properties":{"noteIndex":0},"schema":"https://github.com/citation-style-language/schema/raw/master/csl-citation.json"}</w:instrText>
      </w:r>
      <w:r w:rsidR="008A48FA" w:rsidRPr="003C6A66">
        <w:rPr>
          <w:bCs/>
          <w:lang w:val="en-GB"/>
        </w:rPr>
        <w:fldChar w:fldCharType="separate"/>
      </w:r>
      <w:r w:rsidR="00D10DDE" w:rsidRPr="00D10DDE">
        <w:rPr>
          <w:bCs/>
          <w:noProof/>
          <w:lang w:val="en-GB"/>
        </w:rPr>
        <w:t>(R Core Team, 2020)</w:t>
      </w:r>
      <w:r w:rsidR="008A48FA" w:rsidRPr="003C6A66">
        <w:rPr>
          <w:bCs/>
          <w:lang w:val="en-GB"/>
        </w:rPr>
        <w:fldChar w:fldCharType="end"/>
      </w:r>
      <w:r w:rsidR="004A023B" w:rsidRPr="003C6A66">
        <w:rPr>
          <w:bCs/>
          <w:lang w:val="en-GB"/>
        </w:rPr>
        <w:t xml:space="preserve">, </w:t>
      </w:r>
      <w:proofErr w:type="spellStart"/>
      <w:r w:rsidR="00917F1A" w:rsidRPr="003C6A66">
        <w:rPr>
          <w:bCs/>
          <w:i/>
          <w:iCs/>
          <w:lang w:val="en-GB"/>
        </w:rPr>
        <w:t>corrplot</w:t>
      </w:r>
      <w:proofErr w:type="spellEnd"/>
      <w:r w:rsidR="00917F1A" w:rsidRPr="003C6A66">
        <w:rPr>
          <w:bCs/>
          <w:lang w:val="en-GB"/>
        </w:rPr>
        <w:t xml:space="preserve"> </w:t>
      </w:r>
      <w:r w:rsidR="00917F1A" w:rsidRPr="003C6A66">
        <w:rPr>
          <w:bCs/>
          <w:lang w:val="en-GB"/>
        </w:rPr>
        <w:fldChar w:fldCharType="begin" w:fldLock="1"/>
      </w:r>
      <w:r w:rsidR="00525CEF">
        <w:rPr>
          <w:bCs/>
          <w:lang w:val="en-GB"/>
        </w:rPr>
        <w:instrText>ADDIN CSL_CITATION {"citationItems":[{"id":"ITEM-1","itemData":{"author":[{"dropping-particle":"","family":"Wei","given":"Taiyun","non-dropping-particle":"","parse-names":false,"suffix":""},{"dropping-particle":"","family":"Simko","given":"Viliam","non-dropping-particle":"","parse-names":false,"suffix":""}],"id":"ITEM-1","issued":{"date-parts":[["2021"]]},"title":"R package \"corrplot\": Visualization of a Correlation Matrix (Version 0.89)","type":"article"},"uris":["http://www.mendeley.com/documents/?uuid=27afd1ed-eecd-45e3-81bc-171cb0b746d1"]}],"mendeley":{"formattedCitation":"(Wei and Simko, 2021)","plainTextFormattedCitation":"(Wei and Simko, 2021)","previouslyFormattedCitation":"(Wei and Simko, 2021)"},"properties":{"noteIndex":0},"schema":"https://github.com/citation-style-language/schema/raw/master/csl-citation.json"}</w:instrText>
      </w:r>
      <w:r w:rsidR="00917F1A" w:rsidRPr="003C6A66">
        <w:rPr>
          <w:bCs/>
          <w:lang w:val="en-GB"/>
        </w:rPr>
        <w:fldChar w:fldCharType="separate"/>
      </w:r>
      <w:r w:rsidR="00D10DDE" w:rsidRPr="00D10DDE">
        <w:rPr>
          <w:bCs/>
          <w:noProof/>
          <w:lang w:val="en-GB"/>
        </w:rPr>
        <w:t>(Wei and Simko, 2021)</w:t>
      </w:r>
      <w:r w:rsidR="00917F1A" w:rsidRPr="003C6A66">
        <w:rPr>
          <w:bCs/>
          <w:lang w:val="en-GB"/>
        </w:rPr>
        <w:fldChar w:fldCharType="end"/>
      </w:r>
      <w:r w:rsidR="00917F1A" w:rsidRPr="003C6A66">
        <w:rPr>
          <w:bCs/>
          <w:lang w:val="en-GB"/>
        </w:rPr>
        <w:t xml:space="preserve">, </w:t>
      </w:r>
      <w:r w:rsidR="004A023B" w:rsidRPr="003C6A66">
        <w:rPr>
          <w:bCs/>
          <w:i/>
          <w:iCs/>
          <w:lang w:val="en-GB"/>
        </w:rPr>
        <w:t>ggplot2</w:t>
      </w:r>
      <w:r w:rsidR="004A023B" w:rsidRPr="003C6A66">
        <w:rPr>
          <w:bCs/>
          <w:lang w:val="en-GB"/>
        </w:rPr>
        <w:t xml:space="preserve"> </w:t>
      </w:r>
      <w:r w:rsidR="004A023B" w:rsidRPr="003C6A66">
        <w:rPr>
          <w:bCs/>
          <w:lang w:val="en-GB"/>
        </w:rPr>
        <w:fldChar w:fldCharType="begin" w:fldLock="1"/>
      </w:r>
      <w:r w:rsidR="00525CEF">
        <w:rPr>
          <w:bCs/>
          <w:lang w:val="en-GB"/>
        </w:rPr>
        <w:instrText>ADDIN CSL_CITATION {"citationItems":[{"id":"ITEM-1","itemData":{"author":[{"dropping-particle":"","family":"Wickham","given":"H.","non-dropping-particle":"","parse-names":false,"suffix":""}],"id":"ITEM-1","issued":{"date-parts":[["2016"]]},"publisher":"Springer-Verlag","publisher-place":"New York","title":"ggplot2: Elegant Graphics for Data Analysis","type":"article"},"uris":["http://www.mendeley.com/documents/?uuid=8ad8155a-e8a1-491a-8051-2d517577bebc"]}],"mendeley":{"formattedCitation":"(Wickham, 2016)","plainTextFormattedCitation":"(Wickham, 2016)","previouslyFormattedCitation":"(Wickham, 2016)"},"properties":{"noteIndex":0},"schema":"https://github.com/citation-style-language/schema/raw/master/csl-citation.json"}</w:instrText>
      </w:r>
      <w:r w:rsidR="004A023B" w:rsidRPr="003C6A66">
        <w:rPr>
          <w:bCs/>
          <w:lang w:val="en-GB"/>
        </w:rPr>
        <w:fldChar w:fldCharType="separate"/>
      </w:r>
      <w:r w:rsidR="00D10DDE" w:rsidRPr="00D10DDE">
        <w:rPr>
          <w:bCs/>
          <w:noProof/>
          <w:lang w:val="en-GB"/>
        </w:rPr>
        <w:t>(Wickham, 2016)</w:t>
      </w:r>
      <w:r w:rsidR="004A023B" w:rsidRPr="003C6A66">
        <w:rPr>
          <w:bCs/>
          <w:lang w:val="en-GB"/>
        </w:rPr>
        <w:fldChar w:fldCharType="end"/>
      </w:r>
      <w:r w:rsidR="00DE1DF0">
        <w:rPr>
          <w:bCs/>
          <w:lang w:val="en-GB"/>
        </w:rPr>
        <w:t xml:space="preserve">, </w:t>
      </w:r>
      <w:r w:rsidR="00DE1DF0">
        <w:rPr>
          <w:bCs/>
          <w:i/>
          <w:iCs/>
          <w:lang w:val="en-GB"/>
        </w:rPr>
        <w:t xml:space="preserve">mediation </w:t>
      </w:r>
      <w:r w:rsidR="00DE1DF0">
        <w:rPr>
          <w:bCs/>
          <w:i/>
          <w:iCs/>
          <w:lang w:val="en-GB"/>
        </w:rPr>
        <w:fldChar w:fldCharType="begin" w:fldLock="1"/>
      </w:r>
      <w:r w:rsidR="00D27E4A">
        <w:rPr>
          <w:bCs/>
          <w:i/>
          <w:iCs/>
          <w:lang w:val="en-GB"/>
        </w:rPr>
        <w:instrText>ADDIN CSL_CITATION {"citationItems":[{"id":"ITEM-1","itemData":{"author":[{"dropping-particle":"","family":"Tingley","given":"Dustin","non-dropping-particle":"","parse-names":false,"suffix":""},{"dropping-particle":"","family":"Yamamoto","given":"Teppei","non-dropping-particle":"","parse-names":false,"suffix":""},{"dropping-particle":"","family":"Hirose","given":"Kentaro","non-dropping-particle":"","parse-names":false,"suffix":""},{"dropping-particle":"","family":"Keele","given":"Luke","non-dropping-particle":"","parse-names":false,"suffix":""},{"dropping-particle":"","family":"Imai","given":"Kosuke","non-dropping-particle":"","parse-names":false,"suffix":""}],"container-title":"Journal of Statistical Software","id":"ITEM-1","issue":"5","issued":{"date-parts":[["2014"]]},"page":"1-38","title":"mediation: R Package for Causal Mediation Analysis","type":"article-journal","volume":"59"},"uris":["http://www.mendeley.com/documents/?uuid=137eb235-7063-4a8e-8c33-090224eaa919"]}],"mendeley":{"formattedCitation":"(Tingley et al., 2014)","plainTextFormattedCitation":"(Tingley et al., 2014)","previouslyFormattedCitation":"(Tingley et al., 2014)"},"properties":{"noteIndex":0},"schema":"https://github.com/citation-style-language/schema/raw/master/csl-citation.json"}</w:instrText>
      </w:r>
      <w:r w:rsidR="00DE1DF0">
        <w:rPr>
          <w:bCs/>
          <w:i/>
          <w:iCs/>
          <w:lang w:val="en-GB"/>
        </w:rPr>
        <w:fldChar w:fldCharType="separate"/>
      </w:r>
      <w:r w:rsidR="00DE1DF0" w:rsidRPr="00DE1DF0">
        <w:rPr>
          <w:bCs/>
          <w:iCs/>
          <w:noProof/>
          <w:lang w:val="en-GB"/>
        </w:rPr>
        <w:t>(Tingley et al., 2014)</w:t>
      </w:r>
      <w:r w:rsidR="00DE1DF0">
        <w:rPr>
          <w:bCs/>
          <w:i/>
          <w:iCs/>
          <w:lang w:val="en-GB"/>
        </w:rPr>
        <w:fldChar w:fldCharType="end"/>
      </w:r>
      <w:r w:rsidR="00DE1DF0">
        <w:rPr>
          <w:bCs/>
          <w:lang w:val="en-GB"/>
        </w:rPr>
        <w:t>,</w:t>
      </w:r>
      <w:r w:rsidR="00092D95" w:rsidRPr="003C6A66">
        <w:rPr>
          <w:bCs/>
          <w:lang w:val="en-GB"/>
        </w:rPr>
        <w:t xml:space="preserve"> and dependencies</w:t>
      </w:r>
      <w:r w:rsidR="004A023B" w:rsidRPr="003C6A66">
        <w:rPr>
          <w:bCs/>
          <w:lang w:val="en-GB"/>
        </w:rPr>
        <w:t xml:space="preserve"> </w:t>
      </w:r>
      <w:r w:rsidR="00EB71A8" w:rsidRPr="003C6A66">
        <w:rPr>
          <w:bCs/>
          <w:lang w:val="en-GB"/>
        </w:rPr>
        <w:t xml:space="preserve">from </w:t>
      </w:r>
      <w:r w:rsidR="004A023B" w:rsidRPr="003C6A66">
        <w:rPr>
          <w:bCs/>
          <w:lang w:val="en-GB"/>
        </w:rPr>
        <w:t xml:space="preserve">R/4.3 </w:t>
      </w:r>
      <w:r w:rsidR="004A023B" w:rsidRPr="003C6A66">
        <w:rPr>
          <w:bCs/>
          <w:lang w:val="en-GB"/>
        </w:rPr>
        <w:fldChar w:fldCharType="begin" w:fldLock="1"/>
      </w:r>
      <w:r w:rsidR="00525CEF">
        <w:rPr>
          <w:bCs/>
          <w:lang w:val="en-GB"/>
        </w:rP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computing","type":"article"},"uris":["http://www.mendeley.com/documents/?uuid=12096cd0-fb38-4a73-b6a1-45a5a20f6b3d"]}],"mendeley":{"formattedCitation":"(R Core Team, 2020)","plainTextFormattedCitation":"(R Core Team, 2020)","previouslyFormattedCitation":"(R Core Team, 2020)"},"properties":{"noteIndex":0},"schema":"https://github.com/citation-style-language/schema/raw/master/csl-citation.json"}</w:instrText>
      </w:r>
      <w:r w:rsidR="004A023B" w:rsidRPr="003C6A66">
        <w:rPr>
          <w:bCs/>
          <w:lang w:val="en-GB"/>
        </w:rPr>
        <w:fldChar w:fldCharType="separate"/>
      </w:r>
      <w:r w:rsidR="00D10DDE" w:rsidRPr="00D10DDE">
        <w:rPr>
          <w:bCs/>
          <w:noProof/>
          <w:lang w:val="en-GB"/>
        </w:rPr>
        <w:t>(R Core Team, 2020)</w:t>
      </w:r>
      <w:r w:rsidR="004A023B" w:rsidRPr="003C6A66">
        <w:rPr>
          <w:bCs/>
          <w:lang w:val="en-GB"/>
        </w:rPr>
        <w:fldChar w:fldCharType="end"/>
      </w:r>
      <w:r w:rsidR="004A023B" w:rsidRPr="003C6A66">
        <w:rPr>
          <w:bCs/>
          <w:lang w:val="en-GB"/>
        </w:rPr>
        <w:t>.</w:t>
      </w:r>
    </w:p>
    <w:p w14:paraId="5D8E3349" w14:textId="77777777" w:rsidR="00642752" w:rsidRPr="003C6A66" w:rsidRDefault="00642752" w:rsidP="00801558">
      <w:pPr>
        <w:spacing w:line="276" w:lineRule="auto"/>
        <w:jc w:val="both"/>
        <w:rPr>
          <w:bCs/>
          <w:lang w:val="en-GB"/>
        </w:rPr>
      </w:pPr>
    </w:p>
    <w:p w14:paraId="5A45E826" w14:textId="4B5F5C17" w:rsidR="00642752" w:rsidRPr="00EE58BB" w:rsidRDefault="00642752" w:rsidP="00EE58BB">
      <w:pPr>
        <w:pStyle w:val="ListParagraph"/>
        <w:numPr>
          <w:ilvl w:val="0"/>
          <w:numId w:val="3"/>
        </w:numPr>
        <w:spacing w:line="276" w:lineRule="auto"/>
        <w:jc w:val="both"/>
        <w:rPr>
          <w:b/>
          <w:lang w:val="en-GB"/>
        </w:rPr>
      </w:pPr>
      <w:r w:rsidRPr="00EE58BB">
        <w:rPr>
          <w:b/>
          <w:lang w:val="en-GB"/>
        </w:rPr>
        <w:t>Results</w:t>
      </w:r>
    </w:p>
    <w:p w14:paraId="144B27B5" w14:textId="313FA57D" w:rsidR="008138F0" w:rsidRDefault="004D4E96" w:rsidP="00801558">
      <w:pPr>
        <w:spacing w:line="276" w:lineRule="auto"/>
        <w:jc w:val="both"/>
        <w:rPr>
          <w:bCs/>
          <w:lang w:val="en-GB"/>
        </w:rPr>
      </w:pPr>
      <w:r w:rsidRPr="00372C3C">
        <w:rPr>
          <w:bCs/>
          <w:i/>
          <w:iCs/>
          <w:u w:val="single"/>
          <w:lang w:val="en-GB"/>
        </w:rPr>
        <w:t>O</w:t>
      </w:r>
      <w:r w:rsidR="0021338E" w:rsidRPr="00372C3C">
        <w:rPr>
          <w:bCs/>
          <w:i/>
          <w:iCs/>
          <w:u w:val="single"/>
          <w:lang w:val="en-GB"/>
        </w:rPr>
        <w:t>ur</w:t>
      </w:r>
      <w:r w:rsidR="0021338E" w:rsidRPr="003C6A66">
        <w:rPr>
          <w:bCs/>
          <w:lang w:val="en-GB"/>
        </w:rPr>
        <w:t xml:space="preserve"> study population consisted of </w:t>
      </w:r>
      <w:r w:rsidR="00013C1C" w:rsidRPr="003C6A66">
        <w:rPr>
          <w:bCs/>
          <w:lang w:val="en-GB"/>
        </w:rPr>
        <w:t>2,441,566 individuals aged 30 years or older</w:t>
      </w:r>
      <w:r w:rsidR="00A634A0" w:rsidRPr="003C6A66">
        <w:rPr>
          <w:bCs/>
          <w:lang w:val="en-GB"/>
        </w:rPr>
        <w:t xml:space="preserve"> and</w:t>
      </w:r>
      <w:r w:rsidR="008C52D8" w:rsidRPr="003C6A66">
        <w:rPr>
          <w:bCs/>
          <w:lang w:val="en-GB"/>
        </w:rPr>
        <w:t xml:space="preserve"> officially</w:t>
      </w:r>
      <w:r w:rsidR="00A634A0" w:rsidRPr="003C6A66">
        <w:rPr>
          <w:bCs/>
          <w:lang w:val="en-GB"/>
        </w:rPr>
        <w:t xml:space="preserve"> residing in one of the five largest Belgian urban areas in 2001</w:t>
      </w:r>
      <w:r w:rsidR="00031BF8" w:rsidRPr="003C6A66">
        <w:rPr>
          <w:bCs/>
          <w:lang w:val="en-GB"/>
        </w:rPr>
        <w:t xml:space="preserve"> (Table 1)</w:t>
      </w:r>
      <w:r w:rsidR="00A634A0" w:rsidRPr="003C6A66">
        <w:rPr>
          <w:bCs/>
          <w:lang w:val="en-GB"/>
        </w:rPr>
        <w:t>.</w:t>
      </w:r>
      <w:r w:rsidR="001E6446" w:rsidRPr="003C6A66">
        <w:rPr>
          <w:bCs/>
          <w:lang w:val="en-GB"/>
        </w:rPr>
        <w:t xml:space="preserve"> </w:t>
      </w:r>
      <w:r w:rsidR="0076317C">
        <w:rPr>
          <w:bCs/>
          <w:i/>
          <w:iCs/>
          <w:lang w:val="en-GB"/>
        </w:rPr>
        <w:t>We</w:t>
      </w:r>
      <w:r w:rsidR="0076317C" w:rsidRPr="00ED033F">
        <w:rPr>
          <w:bCs/>
          <w:i/>
          <w:iCs/>
          <w:lang w:val="en-GB"/>
        </w:rPr>
        <w:t xml:space="preserve"> exclud</w:t>
      </w:r>
      <w:r w:rsidR="0076317C">
        <w:rPr>
          <w:bCs/>
          <w:i/>
          <w:iCs/>
          <w:lang w:val="en-GB"/>
        </w:rPr>
        <w:t>ed</w:t>
      </w:r>
      <w:r w:rsidR="0076317C" w:rsidRPr="00ED033F">
        <w:rPr>
          <w:bCs/>
          <w:i/>
          <w:iCs/>
          <w:lang w:val="en-GB"/>
        </w:rPr>
        <w:t xml:space="preserve"> observations </w:t>
      </w:r>
      <w:r w:rsidR="0076317C" w:rsidRPr="00F20926">
        <w:rPr>
          <w:bCs/>
          <w:lang w:val="en-GB"/>
        </w:rPr>
        <w:t>with incomplete information on geocoded address (5.3%) and with missing information on covariates (10.2%) (Figure S2)</w:t>
      </w:r>
      <w:r w:rsidR="0076317C">
        <w:rPr>
          <w:bCs/>
          <w:i/>
          <w:iCs/>
          <w:lang w:val="en-GB"/>
        </w:rPr>
        <w:t xml:space="preserve">. </w:t>
      </w:r>
      <w:r w:rsidR="001968B6" w:rsidRPr="003C6A66">
        <w:rPr>
          <w:bCs/>
          <w:lang w:val="en-GB"/>
        </w:rPr>
        <w:t>During</w:t>
      </w:r>
      <w:r w:rsidR="000F4796">
        <w:rPr>
          <w:bCs/>
          <w:lang w:val="en-GB"/>
        </w:rPr>
        <w:t xml:space="preserve"> the</w:t>
      </w:r>
      <w:r w:rsidR="001968B6" w:rsidRPr="003C6A66">
        <w:rPr>
          <w:bCs/>
          <w:lang w:val="en-GB"/>
        </w:rPr>
        <w:t xml:space="preserve"> follow-up</w:t>
      </w:r>
      <w:r w:rsidR="005E3DE5" w:rsidRPr="003C6A66">
        <w:rPr>
          <w:bCs/>
          <w:lang w:val="en-GB"/>
        </w:rPr>
        <w:t xml:space="preserve"> (2001-2014)</w:t>
      </w:r>
      <w:r w:rsidR="001968B6" w:rsidRPr="003C6A66">
        <w:rPr>
          <w:bCs/>
          <w:lang w:val="en-GB"/>
        </w:rPr>
        <w:t>,</w:t>
      </w:r>
      <w:r w:rsidR="005E3DE5" w:rsidRPr="003C6A66">
        <w:rPr>
          <w:bCs/>
          <w:lang w:val="en-GB"/>
        </w:rPr>
        <w:t xml:space="preserve"> 29,584 (1.2%)</w:t>
      </w:r>
      <w:r w:rsidR="001968B6" w:rsidRPr="003C6A66">
        <w:rPr>
          <w:bCs/>
          <w:lang w:val="en-GB"/>
        </w:rPr>
        <w:t xml:space="preserve"> </w:t>
      </w:r>
      <w:r w:rsidR="005E3DE5" w:rsidRPr="003C6A66">
        <w:rPr>
          <w:bCs/>
          <w:lang w:val="en-GB"/>
        </w:rPr>
        <w:t xml:space="preserve">individuals died </w:t>
      </w:r>
      <w:r w:rsidR="00A42A4C" w:rsidRPr="003C6A66">
        <w:rPr>
          <w:bCs/>
          <w:lang w:val="en-GB"/>
        </w:rPr>
        <w:t>from lung cancer</w:t>
      </w:r>
      <w:r w:rsidR="009E3F07" w:rsidRPr="003C6A66">
        <w:rPr>
          <w:bCs/>
          <w:lang w:val="en-GB"/>
        </w:rPr>
        <w:t xml:space="preserve"> and</w:t>
      </w:r>
      <w:r w:rsidR="00703887" w:rsidRPr="003C6A66">
        <w:rPr>
          <w:bCs/>
          <w:lang w:val="en-GB"/>
        </w:rPr>
        <w:t xml:space="preserve"> 13,618</w:t>
      </w:r>
      <w:r w:rsidR="002D20DD" w:rsidRPr="003C6A66">
        <w:rPr>
          <w:bCs/>
          <w:lang w:val="en-GB"/>
        </w:rPr>
        <w:t xml:space="preserve"> (0.6%)</w:t>
      </w:r>
      <w:r w:rsidR="00703887" w:rsidRPr="003C6A66">
        <w:rPr>
          <w:bCs/>
          <w:lang w:val="en-GB"/>
        </w:rPr>
        <w:t xml:space="preserve"> individuals died</w:t>
      </w:r>
      <w:r w:rsidR="002D20DD" w:rsidRPr="003C6A66">
        <w:rPr>
          <w:bCs/>
          <w:lang w:val="en-GB"/>
        </w:rPr>
        <w:t xml:space="preserve"> from colorectal cancer</w:t>
      </w:r>
      <w:r w:rsidR="009E3F07" w:rsidRPr="003C6A66">
        <w:rPr>
          <w:bCs/>
          <w:lang w:val="en-GB"/>
        </w:rPr>
        <w:t xml:space="preserve">. </w:t>
      </w:r>
      <w:r w:rsidR="00B46B8B" w:rsidRPr="00F20926">
        <w:rPr>
          <w:bCs/>
          <w:lang w:val="en-GB"/>
        </w:rPr>
        <w:t>Men died more frequently from lung cancer than women (1.8% and 0.6%, respectively).</w:t>
      </w:r>
      <w:r w:rsidR="00B46B8B">
        <w:rPr>
          <w:bCs/>
          <w:i/>
          <w:iCs/>
          <w:lang w:val="en-GB"/>
        </w:rPr>
        <w:t xml:space="preserve"> </w:t>
      </w:r>
      <w:r w:rsidR="009E3F07" w:rsidRPr="003C6A66">
        <w:rPr>
          <w:bCs/>
          <w:lang w:val="en-GB"/>
        </w:rPr>
        <w:t xml:space="preserve">Breast cancer was recorded as the cause of death in </w:t>
      </w:r>
      <w:r w:rsidR="004B6DD4" w:rsidRPr="003C6A66">
        <w:rPr>
          <w:bCs/>
          <w:lang w:val="en-GB"/>
        </w:rPr>
        <w:t xml:space="preserve">10,880 (0.8%) </w:t>
      </w:r>
      <w:r w:rsidR="003F4EF5" w:rsidRPr="003C6A66">
        <w:rPr>
          <w:bCs/>
          <w:lang w:val="en-GB"/>
        </w:rPr>
        <w:t>women</w:t>
      </w:r>
      <w:r w:rsidR="009E3F07" w:rsidRPr="003C6A66">
        <w:rPr>
          <w:bCs/>
          <w:lang w:val="en-GB"/>
        </w:rPr>
        <w:t xml:space="preserve">, </w:t>
      </w:r>
      <w:r w:rsidR="004225E7" w:rsidRPr="003C6A66">
        <w:rPr>
          <w:bCs/>
          <w:lang w:val="en-GB"/>
        </w:rPr>
        <w:t>whereas</w:t>
      </w:r>
      <w:r w:rsidR="003F4EF5" w:rsidRPr="003C6A66">
        <w:rPr>
          <w:bCs/>
          <w:lang w:val="en-GB"/>
        </w:rPr>
        <w:t xml:space="preserve"> </w:t>
      </w:r>
      <w:r w:rsidR="00267F3C" w:rsidRPr="003C6A66">
        <w:rPr>
          <w:bCs/>
          <w:lang w:val="en-GB"/>
        </w:rPr>
        <w:t xml:space="preserve">prostate cancer was registered </w:t>
      </w:r>
      <w:r w:rsidR="005A2EB4" w:rsidRPr="003C6A66">
        <w:rPr>
          <w:bCs/>
          <w:lang w:val="en-GB"/>
        </w:rPr>
        <w:t>in</w:t>
      </w:r>
      <w:r w:rsidR="00267F3C" w:rsidRPr="003C6A66">
        <w:rPr>
          <w:bCs/>
          <w:lang w:val="en-GB"/>
        </w:rPr>
        <w:t xml:space="preserve"> </w:t>
      </w:r>
      <w:r w:rsidR="004B6DD4" w:rsidRPr="003C6A66">
        <w:rPr>
          <w:bCs/>
          <w:lang w:val="en-GB"/>
        </w:rPr>
        <w:t>6,</w:t>
      </w:r>
      <w:r w:rsidR="004B6DD4">
        <w:rPr>
          <w:bCs/>
          <w:lang w:val="en-GB"/>
        </w:rPr>
        <w:t>915</w:t>
      </w:r>
      <w:r w:rsidR="004B6DD4" w:rsidRPr="003C6A66">
        <w:rPr>
          <w:bCs/>
          <w:lang w:val="en-GB"/>
        </w:rPr>
        <w:t xml:space="preserve"> (0.</w:t>
      </w:r>
      <w:r w:rsidR="001510DD">
        <w:rPr>
          <w:bCs/>
          <w:lang w:val="en-GB"/>
        </w:rPr>
        <w:t>6</w:t>
      </w:r>
      <w:r w:rsidR="004B6DD4" w:rsidRPr="003C6A66">
        <w:rPr>
          <w:bCs/>
          <w:lang w:val="en-GB"/>
        </w:rPr>
        <w:t xml:space="preserve">%) </w:t>
      </w:r>
      <w:r w:rsidR="003F4EF5" w:rsidRPr="003C6A66">
        <w:rPr>
          <w:bCs/>
          <w:lang w:val="en-GB"/>
        </w:rPr>
        <w:t>men.</w:t>
      </w:r>
      <w:r w:rsidR="00D83163" w:rsidRPr="003C6A66">
        <w:rPr>
          <w:bCs/>
          <w:lang w:val="en-GB"/>
        </w:rPr>
        <w:t xml:space="preserve"> </w:t>
      </w:r>
      <w:r w:rsidR="00E94C5A" w:rsidRPr="009C1662">
        <w:rPr>
          <w:bCs/>
          <w:lang w:val="en-GB"/>
        </w:rPr>
        <w:t xml:space="preserve">The median exposure to surrounding greenness </w:t>
      </w:r>
      <w:r w:rsidR="00492A7C" w:rsidRPr="009C1662">
        <w:rPr>
          <w:bCs/>
          <w:lang w:val="en-GB"/>
        </w:rPr>
        <w:t xml:space="preserve">and surrounding green areas </w:t>
      </w:r>
      <w:r w:rsidR="00E94C5A" w:rsidRPr="009C1662">
        <w:rPr>
          <w:bCs/>
          <w:lang w:val="en-GB"/>
        </w:rPr>
        <w:t xml:space="preserve">was </w:t>
      </w:r>
      <w:r w:rsidR="00E94C5A" w:rsidRPr="009C1662">
        <w:rPr>
          <w:bCs/>
          <w:i/>
          <w:iCs/>
          <w:u w:val="single"/>
          <w:lang w:val="en-GB"/>
        </w:rPr>
        <w:t>0.</w:t>
      </w:r>
      <w:r w:rsidR="009C1662" w:rsidRPr="009C1662">
        <w:rPr>
          <w:bCs/>
          <w:i/>
          <w:iCs/>
          <w:u w:val="single"/>
          <w:lang w:val="en-GB"/>
        </w:rPr>
        <w:t>59</w:t>
      </w:r>
      <w:r w:rsidR="00E94C5A" w:rsidRPr="009C1662">
        <w:rPr>
          <w:bCs/>
          <w:i/>
          <w:iCs/>
          <w:u w:val="single"/>
          <w:lang w:val="en-GB"/>
        </w:rPr>
        <w:t xml:space="preserve"> (IQR: 0.23)</w:t>
      </w:r>
      <w:r w:rsidR="00492A7C" w:rsidRPr="005A17EA">
        <w:rPr>
          <w:bCs/>
          <w:u w:val="single"/>
          <w:lang w:val="en-GB"/>
        </w:rPr>
        <w:t xml:space="preserve"> </w:t>
      </w:r>
      <w:r w:rsidR="00492A7C" w:rsidRPr="005A17EA">
        <w:rPr>
          <w:bCs/>
          <w:i/>
          <w:iCs/>
          <w:u w:val="single"/>
          <w:lang w:val="en-GB"/>
        </w:rPr>
        <w:t>and</w:t>
      </w:r>
      <w:r w:rsidR="00492A7C" w:rsidRPr="009C1662">
        <w:rPr>
          <w:bCs/>
          <w:lang w:val="en-GB"/>
        </w:rPr>
        <w:t xml:space="preserve"> </w:t>
      </w:r>
      <w:r w:rsidR="00492A7C" w:rsidRPr="009C1662">
        <w:rPr>
          <w:bCs/>
          <w:i/>
          <w:iCs/>
          <w:u w:val="single"/>
          <w:lang w:val="en-GB"/>
        </w:rPr>
        <w:t>0.</w:t>
      </w:r>
      <w:r w:rsidR="009C1662" w:rsidRPr="009C1662">
        <w:rPr>
          <w:bCs/>
          <w:i/>
          <w:iCs/>
          <w:u w:val="single"/>
          <w:lang w:val="en-GB"/>
        </w:rPr>
        <w:t>15</w:t>
      </w:r>
      <w:r w:rsidR="00492A7C" w:rsidRPr="009C1662">
        <w:rPr>
          <w:bCs/>
          <w:i/>
          <w:iCs/>
          <w:u w:val="single"/>
          <w:lang w:val="en-GB"/>
        </w:rPr>
        <w:t xml:space="preserve"> (IQR: 0.3</w:t>
      </w:r>
      <w:r w:rsidR="009C1662" w:rsidRPr="009C1662">
        <w:rPr>
          <w:bCs/>
          <w:i/>
          <w:iCs/>
          <w:u w:val="single"/>
          <w:lang w:val="en-GB"/>
        </w:rPr>
        <w:t>2</w:t>
      </w:r>
      <w:r w:rsidR="00492A7C" w:rsidRPr="009C1662">
        <w:rPr>
          <w:bCs/>
          <w:i/>
          <w:iCs/>
          <w:u w:val="single"/>
          <w:lang w:val="en-GB"/>
        </w:rPr>
        <w:t>)</w:t>
      </w:r>
      <w:r w:rsidR="00492A7C" w:rsidRPr="009C1662">
        <w:rPr>
          <w:bCs/>
          <w:lang w:val="en-GB"/>
        </w:rPr>
        <w:t>,</w:t>
      </w:r>
      <w:r w:rsidR="00492A7C" w:rsidRPr="003C6A66">
        <w:rPr>
          <w:bCs/>
          <w:lang w:val="en-GB"/>
        </w:rPr>
        <w:t xml:space="preserve"> </w:t>
      </w:r>
      <w:r w:rsidR="00492A7C" w:rsidRPr="003C6A66">
        <w:rPr>
          <w:bCs/>
          <w:lang w:val="en-GB"/>
        </w:rPr>
        <w:lastRenderedPageBreak/>
        <w:t>respectively.</w:t>
      </w:r>
      <w:r w:rsidR="00A2733D" w:rsidRPr="003C6A66">
        <w:rPr>
          <w:bCs/>
          <w:lang w:val="en-GB"/>
        </w:rPr>
        <w:t xml:space="preserve"> The median </w:t>
      </w:r>
      <w:r w:rsidR="009B2CB8">
        <w:rPr>
          <w:bCs/>
          <w:lang w:val="en-GB"/>
        </w:rPr>
        <w:t>percentage</w:t>
      </w:r>
      <w:r w:rsidR="009B2CB8" w:rsidRPr="003C6A66">
        <w:rPr>
          <w:bCs/>
          <w:lang w:val="en-GB"/>
        </w:rPr>
        <w:t xml:space="preserve"> </w:t>
      </w:r>
      <w:r w:rsidR="00A2733D" w:rsidRPr="003C6A66">
        <w:rPr>
          <w:bCs/>
          <w:lang w:val="en-GB"/>
        </w:rPr>
        <w:t xml:space="preserve">of individuals </w:t>
      </w:r>
      <w:r w:rsidR="00B13021" w:rsidRPr="003C6A66">
        <w:rPr>
          <w:bCs/>
          <w:lang w:val="en-GB"/>
        </w:rPr>
        <w:t xml:space="preserve">in the census tract </w:t>
      </w:r>
      <w:r w:rsidR="00A2733D" w:rsidRPr="003C6A66">
        <w:rPr>
          <w:bCs/>
          <w:lang w:val="en-GB"/>
        </w:rPr>
        <w:t xml:space="preserve">reporting very good provision of green spaces in their </w:t>
      </w:r>
      <w:r w:rsidR="00E11F36" w:rsidRPr="003C6A66">
        <w:rPr>
          <w:bCs/>
          <w:lang w:val="en-GB"/>
        </w:rPr>
        <w:t>neighbourhood</w:t>
      </w:r>
      <w:r w:rsidR="00A2733D" w:rsidRPr="003C6A66">
        <w:rPr>
          <w:bCs/>
          <w:lang w:val="en-GB"/>
        </w:rPr>
        <w:t xml:space="preserve"> was 23.3 (IQR: 22.8).</w:t>
      </w:r>
      <w:r w:rsidR="00C8083D" w:rsidRPr="003C6A66">
        <w:rPr>
          <w:bCs/>
          <w:lang w:val="en-GB"/>
        </w:rPr>
        <w:t xml:space="preserve"> A detailed description of</w:t>
      </w:r>
      <w:r w:rsidR="00266C80" w:rsidRPr="003C6A66">
        <w:rPr>
          <w:bCs/>
          <w:lang w:val="en-GB"/>
        </w:rPr>
        <w:t xml:space="preserve"> </w:t>
      </w:r>
      <w:r w:rsidR="00C8083D" w:rsidRPr="003C6A66">
        <w:rPr>
          <w:bCs/>
          <w:lang w:val="en-GB"/>
        </w:rPr>
        <w:t>environmental indicator</w:t>
      </w:r>
      <w:r w:rsidR="00C25889">
        <w:rPr>
          <w:bCs/>
          <w:lang w:val="en-GB"/>
        </w:rPr>
        <w:t>s</w:t>
      </w:r>
      <w:r w:rsidR="00A71C24" w:rsidRPr="003C6A66">
        <w:rPr>
          <w:bCs/>
          <w:lang w:val="en-GB"/>
        </w:rPr>
        <w:t xml:space="preserve"> can be found in Table S1.</w:t>
      </w:r>
    </w:p>
    <w:p w14:paraId="415DE792" w14:textId="77777777" w:rsidR="00E11F36" w:rsidRDefault="00E11F36" w:rsidP="00E11F36">
      <w:pPr>
        <w:spacing w:line="276" w:lineRule="auto"/>
        <w:jc w:val="both"/>
        <w:rPr>
          <w:bCs/>
          <w:lang w:val="en-US"/>
        </w:rPr>
      </w:pPr>
    </w:p>
    <w:tbl>
      <w:tblPr>
        <w:tblW w:w="5131" w:type="pct"/>
        <w:tblBorders>
          <w:top w:val="single" w:sz="4" w:space="0" w:color="auto"/>
          <w:bottom w:val="single" w:sz="4" w:space="0" w:color="auto"/>
        </w:tblBorders>
        <w:tblLook w:val="04A0" w:firstRow="1" w:lastRow="0" w:firstColumn="1" w:lastColumn="0" w:noHBand="0" w:noVBand="1"/>
      </w:tblPr>
      <w:tblGrid>
        <w:gridCol w:w="3800"/>
        <w:gridCol w:w="1778"/>
        <w:gridCol w:w="1752"/>
        <w:gridCol w:w="1932"/>
      </w:tblGrid>
      <w:tr w:rsidR="00405889" w:rsidRPr="00D41B71" w14:paraId="1CB467F6" w14:textId="77777777" w:rsidTr="002F27FB">
        <w:trPr>
          <w:trHeight w:val="640"/>
        </w:trPr>
        <w:tc>
          <w:tcPr>
            <w:tcW w:w="2051" w:type="pct"/>
            <w:tcBorders>
              <w:top w:val="single" w:sz="4" w:space="0" w:color="auto"/>
              <w:bottom w:val="single" w:sz="4" w:space="0" w:color="auto"/>
            </w:tcBorders>
            <w:shd w:val="clear" w:color="auto" w:fill="auto"/>
            <w:vAlign w:val="bottom"/>
            <w:hideMark/>
          </w:tcPr>
          <w:p w14:paraId="4EF83C07" w14:textId="77777777" w:rsidR="00405889" w:rsidRPr="00D41B71" w:rsidRDefault="00405889" w:rsidP="002F27FB">
            <w:pPr>
              <w:rPr>
                <w:sz w:val="21"/>
                <w:szCs w:val="21"/>
              </w:rPr>
            </w:pPr>
          </w:p>
        </w:tc>
        <w:tc>
          <w:tcPr>
            <w:tcW w:w="960" w:type="pct"/>
            <w:tcBorders>
              <w:top w:val="single" w:sz="4" w:space="0" w:color="auto"/>
              <w:bottom w:val="single" w:sz="4" w:space="0" w:color="auto"/>
            </w:tcBorders>
            <w:shd w:val="clear" w:color="auto" w:fill="auto"/>
            <w:vAlign w:val="center"/>
            <w:hideMark/>
          </w:tcPr>
          <w:p w14:paraId="2423BE5F" w14:textId="77777777" w:rsidR="00405889" w:rsidRPr="00D41B71" w:rsidRDefault="00405889" w:rsidP="002F27FB">
            <w:pPr>
              <w:jc w:val="center"/>
              <w:rPr>
                <w:b/>
                <w:bCs/>
                <w:sz w:val="21"/>
                <w:szCs w:val="21"/>
              </w:rPr>
            </w:pPr>
            <w:r w:rsidRPr="00D41B71">
              <w:rPr>
                <w:b/>
                <w:bCs/>
                <w:sz w:val="21"/>
                <w:szCs w:val="21"/>
              </w:rPr>
              <w:t xml:space="preserve">Total </w:t>
            </w:r>
            <w:r>
              <w:rPr>
                <w:b/>
                <w:bCs/>
                <w:sz w:val="21"/>
                <w:szCs w:val="21"/>
                <w:lang w:val="en-US"/>
              </w:rPr>
              <w:t xml:space="preserve">population </w:t>
            </w:r>
            <w:r w:rsidRPr="00D41B71">
              <w:rPr>
                <w:b/>
                <w:bCs/>
                <w:sz w:val="21"/>
                <w:szCs w:val="21"/>
              </w:rPr>
              <w:t>(n=2,441,566)</w:t>
            </w:r>
          </w:p>
        </w:tc>
        <w:tc>
          <w:tcPr>
            <w:tcW w:w="946" w:type="pct"/>
            <w:tcBorders>
              <w:top w:val="single" w:sz="4" w:space="0" w:color="auto"/>
              <w:bottom w:val="single" w:sz="4" w:space="0" w:color="auto"/>
            </w:tcBorders>
            <w:shd w:val="clear" w:color="auto" w:fill="auto"/>
            <w:vAlign w:val="center"/>
            <w:hideMark/>
          </w:tcPr>
          <w:p w14:paraId="0A4B1696" w14:textId="77777777" w:rsidR="00405889" w:rsidRPr="00D41B71" w:rsidRDefault="00405889" w:rsidP="002F27FB">
            <w:pPr>
              <w:jc w:val="center"/>
              <w:rPr>
                <w:b/>
                <w:bCs/>
                <w:sz w:val="21"/>
                <w:szCs w:val="21"/>
              </w:rPr>
            </w:pPr>
            <w:r w:rsidRPr="00D41B71">
              <w:rPr>
                <w:b/>
                <w:bCs/>
                <w:sz w:val="21"/>
                <w:szCs w:val="21"/>
              </w:rPr>
              <w:t>Men (n=1,159,047)</w:t>
            </w:r>
          </w:p>
        </w:tc>
        <w:tc>
          <w:tcPr>
            <w:tcW w:w="1043" w:type="pct"/>
            <w:tcBorders>
              <w:top w:val="single" w:sz="4" w:space="0" w:color="auto"/>
              <w:bottom w:val="single" w:sz="4" w:space="0" w:color="auto"/>
            </w:tcBorders>
            <w:shd w:val="clear" w:color="auto" w:fill="auto"/>
            <w:vAlign w:val="center"/>
            <w:hideMark/>
          </w:tcPr>
          <w:p w14:paraId="7DAE2452" w14:textId="77777777" w:rsidR="00405889" w:rsidRPr="00D41B71" w:rsidRDefault="00405889" w:rsidP="002F27FB">
            <w:pPr>
              <w:jc w:val="center"/>
              <w:rPr>
                <w:b/>
                <w:bCs/>
                <w:sz w:val="21"/>
                <w:szCs w:val="21"/>
              </w:rPr>
            </w:pPr>
            <w:r w:rsidRPr="00D41B71">
              <w:rPr>
                <w:b/>
                <w:bCs/>
                <w:sz w:val="21"/>
                <w:szCs w:val="21"/>
              </w:rPr>
              <w:t>Women (n=1,282,519)</w:t>
            </w:r>
          </w:p>
        </w:tc>
      </w:tr>
      <w:tr w:rsidR="00405889" w:rsidRPr="00D41B71" w14:paraId="632243B5" w14:textId="77777777" w:rsidTr="002F27FB">
        <w:trPr>
          <w:trHeight w:val="320"/>
        </w:trPr>
        <w:tc>
          <w:tcPr>
            <w:tcW w:w="2051" w:type="pct"/>
            <w:tcBorders>
              <w:top w:val="single" w:sz="4" w:space="0" w:color="auto"/>
              <w:bottom w:val="single" w:sz="4" w:space="0" w:color="auto"/>
            </w:tcBorders>
            <w:shd w:val="clear" w:color="auto" w:fill="auto"/>
            <w:vAlign w:val="center"/>
            <w:hideMark/>
          </w:tcPr>
          <w:p w14:paraId="5004F9BF" w14:textId="77777777" w:rsidR="00405889" w:rsidRPr="00D41B71" w:rsidRDefault="00405889" w:rsidP="002F27FB">
            <w:pPr>
              <w:rPr>
                <w:b/>
                <w:bCs/>
                <w:sz w:val="21"/>
                <w:szCs w:val="21"/>
              </w:rPr>
            </w:pPr>
            <w:r w:rsidRPr="00D41B71">
              <w:rPr>
                <w:b/>
                <w:bCs/>
                <w:sz w:val="21"/>
                <w:szCs w:val="21"/>
              </w:rPr>
              <w:t>Age at baseline, mean (SD)</w:t>
            </w:r>
          </w:p>
        </w:tc>
        <w:tc>
          <w:tcPr>
            <w:tcW w:w="960" w:type="pct"/>
            <w:tcBorders>
              <w:top w:val="single" w:sz="4" w:space="0" w:color="auto"/>
              <w:bottom w:val="single" w:sz="4" w:space="0" w:color="auto"/>
            </w:tcBorders>
            <w:shd w:val="clear" w:color="auto" w:fill="auto"/>
            <w:vAlign w:val="center"/>
            <w:hideMark/>
          </w:tcPr>
          <w:p w14:paraId="69EDE2C2" w14:textId="77777777" w:rsidR="00405889" w:rsidRPr="00D41B71" w:rsidRDefault="00405889" w:rsidP="002F27FB">
            <w:pPr>
              <w:jc w:val="center"/>
              <w:rPr>
                <w:sz w:val="21"/>
                <w:szCs w:val="21"/>
              </w:rPr>
            </w:pPr>
            <w:r w:rsidRPr="00D41B71">
              <w:rPr>
                <w:sz w:val="21"/>
                <w:szCs w:val="21"/>
              </w:rPr>
              <w:t>52.5 (15.1)</w:t>
            </w:r>
          </w:p>
        </w:tc>
        <w:tc>
          <w:tcPr>
            <w:tcW w:w="946" w:type="pct"/>
            <w:tcBorders>
              <w:top w:val="single" w:sz="4" w:space="0" w:color="auto"/>
              <w:bottom w:val="single" w:sz="4" w:space="0" w:color="auto"/>
            </w:tcBorders>
            <w:shd w:val="clear" w:color="auto" w:fill="auto"/>
            <w:vAlign w:val="center"/>
            <w:hideMark/>
          </w:tcPr>
          <w:p w14:paraId="66212C87" w14:textId="77777777" w:rsidR="00405889" w:rsidRPr="00D41B71" w:rsidRDefault="00405889" w:rsidP="002F27FB">
            <w:pPr>
              <w:jc w:val="center"/>
              <w:rPr>
                <w:sz w:val="21"/>
                <w:szCs w:val="21"/>
              </w:rPr>
            </w:pPr>
            <w:r w:rsidRPr="00D41B71">
              <w:rPr>
                <w:sz w:val="21"/>
                <w:szCs w:val="21"/>
              </w:rPr>
              <w:t>51.5 (14.5)</w:t>
            </w:r>
          </w:p>
        </w:tc>
        <w:tc>
          <w:tcPr>
            <w:tcW w:w="1043" w:type="pct"/>
            <w:tcBorders>
              <w:top w:val="single" w:sz="4" w:space="0" w:color="auto"/>
              <w:bottom w:val="single" w:sz="4" w:space="0" w:color="auto"/>
            </w:tcBorders>
            <w:shd w:val="clear" w:color="auto" w:fill="auto"/>
            <w:vAlign w:val="center"/>
            <w:hideMark/>
          </w:tcPr>
          <w:p w14:paraId="21B62125" w14:textId="77777777" w:rsidR="00405889" w:rsidRPr="00D41B71" w:rsidRDefault="00405889" w:rsidP="002F27FB">
            <w:pPr>
              <w:jc w:val="center"/>
              <w:rPr>
                <w:sz w:val="21"/>
                <w:szCs w:val="21"/>
              </w:rPr>
            </w:pPr>
            <w:r w:rsidRPr="00D41B71">
              <w:rPr>
                <w:sz w:val="21"/>
                <w:szCs w:val="21"/>
              </w:rPr>
              <w:t>53.5 (15.6)</w:t>
            </w:r>
          </w:p>
        </w:tc>
      </w:tr>
      <w:tr w:rsidR="00405889" w:rsidRPr="00D41B71" w14:paraId="16532FD6" w14:textId="77777777" w:rsidTr="002F27FB">
        <w:trPr>
          <w:trHeight w:val="320"/>
        </w:trPr>
        <w:tc>
          <w:tcPr>
            <w:tcW w:w="2051" w:type="pct"/>
            <w:tcBorders>
              <w:top w:val="single" w:sz="4" w:space="0" w:color="auto"/>
              <w:bottom w:val="single" w:sz="4" w:space="0" w:color="auto"/>
            </w:tcBorders>
            <w:shd w:val="clear" w:color="auto" w:fill="auto"/>
            <w:vAlign w:val="center"/>
          </w:tcPr>
          <w:p w14:paraId="348C6A98" w14:textId="77777777" w:rsidR="00405889" w:rsidRPr="00D41B71" w:rsidRDefault="00405889" w:rsidP="002F27FB">
            <w:pPr>
              <w:rPr>
                <w:b/>
                <w:bCs/>
                <w:sz w:val="21"/>
                <w:szCs w:val="21"/>
                <w:lang w:val="en-US"/>
              </w:rPr>
            </w:pPr>
            <w:r w:rsidRPr="00D41B71">
              <w:rPr>
                <w:b/>
                <w:bCs/>
                <w:sz w:val="21"/>
                <w:szCs w:val="21"/>
                <w:lang w:val="en-US"/>
              </w:rPr>
              <w:t>Site-specific cancer mortality (2001-2014), n (%)</w:t>
            </w:r>
          </w:p>
        </w:tc>
        <w:tc>
          <w:tcPr>
            <w:tcW w:w="960" w:type="pct"/>
            <w:tcBorders>
              <w:top w:val="single" w:sz="4" w:space="0" w:color="auto"/>
              <w:bottom w:val="single" w:sz="4" w:space="0" w:color="auto"/>
            </w:tcBorders>
            <w:shd w:val="clear" w:color="auto" w:fill="auto"/>
            <w:vAlign w:val="center"/>
          </w:tcPr>
          <w:p w14:paraId="09E21C05" w14:textId="77777777" w:rsidR="00405889" w:rsidRPr="00D41B71" w:rsidRDefault="00405889" w:rsidP="002F27FB">
            <w:pPr>
              <w:jc w:val="center"/>
              <w:rPr>
                <w:sz w:val="21"/>
                <w:szCs w:val="21"/>
              </w:rPr>
            </w:pPr>
          </w:p>
        </w:tc>
        <w:tc>
          <w:tcPr>
            <w:tcW w:w="946" w:type="pct"/>
            <w:tcBorders>
              <w:top w:val="single" w:sz="4" w:space="0" w:color="auto"/>
              <w:bottom w:val="single" w:sz="4" w:space="0" w:color="auto"/>
            </w:tcBorders>
            <w:shd w:val="clear" w:color="auto" w:fill="auto"/>
            <w:vAlign w:val="center"/>
          </w:tcPr>
          <w:p w14:paraId="42599447" w14:textId="77777777" w:rsidR="00405889" w:rsidRPr="00D41B71" w:rsidRDefault="00405889" w:rsidP="002F27FB">
            <w:pPr>
              <w:jc w:val="center"/>
              <w:rPr>
                <w:sz w:val="21"/>
                <w:szCs w:val="21"/>
              </w:rPr>
            </w:pPr>
          </w:p>
        </w:tc>
        <w:tc>
          <w:tcPr>
            <w:tcW w:w="1043" w:type="pct"/>
            <w:tcBorders>
              <w:top w:val="single" w:sz="4" w:space="0" w:color="auto"/>
              <w:bottom w:val="single" w:sz="4" w:space="0" w:color="auto"/>
            </w:tcBorders>
            <w:shd w:val="clear" w:color="auto" w:fill="auto"/>
            <w:vAlign w:val="center"/>
          </w:tcPr>
          <w:p w14:paraId="019A44EF" w14:textId="77777777" w:rsidR="00405889" w:rsidRPr="00D41B71" w:rsidRDefault="00405889" w:rsidP="002F27FB">
            <w:pPr>
              <w:jc w:val="center"/>
              <w:rPr>
                <w:sz w:val="21"/>
                <w:szCs w:val="21"/>
              </w:rPr>
            </w:pPr>
          </w:p>
        </w:tc>
      </w:tr>
      <w:tr w:rsidR="00405889" w:rsidRPr="00D41B71" w14:paraId="3C342EF3" w14:textId="77777777" w:rsidTr="002F27FB">
        <w:trPr>
          <w:trHeight w:val="320"/>
        </w:trPr>
        <w:tc>
          <w:tcPr>
            <w:tcW w:w="2051" w:type="pct"/>
            <w:tcBorders>
              <w:top w:val="single" w:sz="4" w:space="0" w:color="auto"/>
            </w:tcBorders>
            <w:shd w:val="clear" w:color="auto" w:fill="auto"/>
            <w:vAlign w:val="center"/>
            <w:hideMark/>
          </w:tcPr>
          <w:p w14:paraId="105EE243" w14:textId="77777777" w:rsidR="00405889" w:rsidRPr="00D41B71" w:rsidRDefault="00405889" w:rsidP="002F27FB">
            <w:pPr>
              <w:rPr>
                <w:sz w:val="21"/>
                <w:szCs w:val="21"/>
              </w:rPr>
            </w:pPr>
            <w:r w:rsidRPr="00D41B71">
              <w:rPr>
                <w:sz w:val="21"/>
                <w:szCs w:val="21"/>
              </w:rPr>
              <w:t>Lung cancer</w:t>
            </w:r>
          </w:p>
        </w:tc>
        <w:tc>
          <w:tcPr>
            <w:tcW w:w="960" w:type="pct"/>
            <w:tcBorders>
              <w:top w:val="single" w:sz="4" w:space="0" w:color="auto"/>
            </w:tcBorders>
            <w:shd w:val="clear" w:color="auto" w:fill="auto"/>
            <w:vAlign w:val="center"/>
            <w:hideMark/>
          </w:tcPr>
          <w:p w14:paraId="231AE831" w14:textId="77777777" w:rsidR="00405889" w:rsidRPr="00D41B71" w:rsidRDefault="00405889" w:rsidP="002F27FB">
            <w:pPr>
              <w:jc w:val="center"/>
              <w:rPr>
                <w:sz w:val="21"/>
                <w:szCs w:val="21"/>
              </w:rPr>
            </w:pPr>
            <w:r w:rsidRPr="00D41B71">
              <w:rPr>
                <w:sz w:val="21"/>
                <w:szCs w:val="21"/>
              </w:rPr>
              <w:t>29,584 (1.2)</w:t>
            </w:r>
          </w:p>
        </w:tc>
        <w:tc>
          <w:tcPr>
            <w:tcW w:w="946" w:type="pct"/>
            <w:tcBorders>
              <w:top w:val="single" w:sz="4" w:space="0" w:color="auto"/>
            </w:tcBorders>
            <w:shd w:val="clear" w:color="auto" w:fill="auto"/>
            <w:vAlign w:val="center"/>
            <w:hideMark/>
          </w:tcPr>
          <w:p w14:paraId="5A4A5257" w14:textId="77777777" w:rsidR="00405889" w:rsidRPr="00D41B71" w:rsidRDefault="00405889" w:rsidP="002F27FB">
            <w:pPr>
              <w:jc w:val="center"/>
              <w:rPr>
                <w:sz w:val="21"/>
                <w:szCs w:val="21"/>
              </w:rPr>
            </w:pPr>
            <w:r w:rsidRPr="00D41B71">
              <w:rPr>
                <w:sz w:val="21"/>
                <w:szCs w:val="21"/>
              </w:rPr>
              <w:t>21,404 (1.8)</w:t>
            </w:r>
          </w:p>
        </w:tc>
        <w:tc>
          <w:tcPr>
            <w:tcW w:w="1043" w:type="pct"/>
            <w:tcBorders>
              <w:top w:val="single" w:sz="4" w:space="0" w:color="auto"/>
            </w:tcBorders>
            <w:shd w:val="clear" w:color="auto" w:fill="auto"/>
            <w:vAlign w:val="center"/>
            <w:hideMark/>
          </w:tcPr>
          <w:p w14:paraId="7045AE14" w14:textId="77777777" w:rsidR="00405889" w:rsidRPr="00D41B71" w:rsidRDefault="00405889" w:rsidP="002F27FB">
            <w:pPr>
              <w:jc w:val="center"/>
              <w:rPr>
                <w:sz w:val="21"/>
                <w:szCs w:val="21"/>
              </w:rPr>
            </w:pPr>
            <w:r w:rsidRPr="00D41B71">
              <w:rPr>
                <w:sz w:val="21"/>
                <w:szCs w:val="21"/>
              </w:rPr>
              <w:t>8,180 (0.6)</w:t>
            </w:r>
          </w:p>
        </w:tc>
      </w:tr>
      <w:tr w:rsidR="00405889" w:rsidRPr="00D41B71" w14:paraId="25C4D83D" w14:textId="77777777" w:rsidTr="002F27FB">
        <w:trPr>
          <w:trHeight w:val="320"/>
        </w:trPr>
        <w:tc>
          <w:tcPr>
            <w:tcW w:w="2051" w:type="pct"/>
            <w:shd w:val="clear" w:color="auto" w:fill="auto"/>
            <w:vAlign w:val="center"/>
            <w:hideMark/>
          </w:tcPr>
          <w:p w14:paraId="38F9F985" w14:textId="77777777" w:rsidR="00405889" w:rsidRPr="00D41B71" w:rsidRDefault="00405889" w:rsidP="002F27FB">
            <w:pPr>
              <w:rPr>
                <w:sz w:val="21"/>
                <w:szCs w:val="21"/>
              </w:rPr>
            </w:pPr>
            <w:r w:rsidRPr="00D41B71">
              <w:rPr>
                <w:sz w:val="21"/>
                <w:szCs w:val="21"/>
              </w:rPr>
              <w:t>Colorectal cancer</w:t>
            </w:r>
          </w:p>
        </w:tc>
        <w:tc>
          <w:tcPr>
            <w:tcW w:w="960" w:type="pct"/>
            <w:shd w:val="clear" w:color="auto" w:fill="auto"/>
            <w:vAlign w:val="center"/>
            <w:hideMark/>
          </w:tcPr>
          <w:p w14:paraId="68E6239A" w14:textId="77777777" w:rsidR="00405889" w:rsidRPr="00D41B71" w:rsidRDefault="00405889" w:rsidP="002F27FB">
            <w:pPr>
              <w:jc w:val="center"/>
              <w:rPr>
                <w:sz w:val="21"/>
                <w:szCs w:val="21"/>
              </w:rPr>
            </w:pPr>
            <w:r w:rsidRPr="00D41B71">
              <w:rPr>
                <w:sz w:val="21"/>
                <w:szCs w:val="21"/>
              </w:rPr>
              <w:t>13,618 (0.6)</w:t>
            </w:r>
          </w:p>
        </w:tc>
        <w:tc>
          <w:tcPr>
            <w:tcW w:w="946" w:type="pct"/>
            <w:shd w:val="clear" w:color="auto" w:fill="auto"/>
            <w:vAlign w:val="center"/>
            <w:hideMark/>
          </w:tcPr>
          <w:p w14:paraId="5FF0C54D" w14:textId="77777777" w:rsidR="00405889" w:rsidRPr="00D41B71" w:rsidRDefault="00405889" w:rsidP="002F27FB">
            <w:pPr>
              <w:jc w:val="center"/>
              <w:rPr>
                <w:sz w:val="21"/>
                <w:szCs w:val="21"/>
              </w:rPr>
            </w:pPr>
            <w:r w:rsidRPr="00D41B71">
              <w:rPr>
                <w:sz w:val="21"/>
                <w:szCs w:val="21"/>
              </w:rPr>
              <w:t>7,082 (0.6)</w:t>
            </w:r>
          </w:p>
        </w:tc>
        <w:tc>
          <w:tcPr>
            <w:tcW w:w="1043" w:type="pct"/>
            <w:shd w:val="clear" w:color="auto" w:fill="auto"/>
            <w:vAlign w:val="center"/>
            <w:hideMark/>
          </w:tcPr>
          <w:p w14:paraId="32CE0C91" w14:textId="77777777" w:rsidR="00405889" w:rsidRPr="00D41B71" w:rsidRDefault="00405889" w:rsidP="002F27FB">
            <w:pPr>
              <w:jc w:val="center"/>
              <w:rPr>
                <w:sz w:val="21"/>
                <w:szCs w:val="21"/>
              </w:rPr>
            </w:pPr>
            <w:r w:rsidRPr="00D41B71">
              <w:rPr>
                <w:sz w:val="21"/>
                <w:szCs w:val="21"/>
              </w:rPr>
              <w:t>6,536 (0.5)</w:t>
            </w:r>
          </w:p>
        </w:tc>
      </w:tr>
      <w:tr w:rsidR="00405889" w:rsidRPr="00D41B71" w14:paraId="519AE185" w14:textId="77777777" w:rsidTr="002F27FB">
        <w:trPr>
          <w:trHeight w:val="320"/>
        </w:trPr>
        <w:tc>
          <w:tcPr>
            <w:tcW w:w="2051" w:type="pct"/>
            <w:tcBorders>
              <w:bottom w:val="nil"/>
            </w:tcBorders>
            <w:shd w:val="clear" w:color="auto" w:fill="auto"/>
            <w:vAlign w:val="center"/>
            <w:hideMark/>
          </w:tcPr>
          <w:p w14:paraId="0BA87388" w14:textId="77777777" w:rsidR="00405889" w:rsidRPr="00D41B71" w:rsidRDefault="00405889" w:rsidP="002F27FB">
            <w:pPr>
              <w:rPr>
                <w:sz w:val="21"/>
                <w:szCs w:val="21"/>
                <w:lang w:val="en-US"/>
              </w:rPr>
            </w:pPr>
            <w:r w:rsidRPr="00D41B71">
              <w:rPr>
                <w:sz w:val="21"/>
                <w:szCs w:val="21"/>
              </w:rPr>
              <w:t>Breast cancer</w:t>
            </w:r>
          </w:p>
        </w:tc>
        <w:tc>
          <w:tcPr>
            <w:tcW w:w="960" w:type="pct"/>
            <w:tcBorders>
              <w:bottom w:val="nil"/>
            </w:tcBorders>
            <w:shd w:val="clear" w:color="auto" w:fill="auto"/>
            <w:vAlign w:val="center"/>
            <w:hideMark/>
          </w:tcPr>
          <w:p w14:paraId="5864D3F0" w14:textId="77777777" w:rsidR="00405889" w:rsidRPr="00D41B71" w:rsidRDefault="00405889" w:rsidP="002F27FB">
            <w:pPr>
              <w:jc w:val="center"/>
              <w:rPr>
                <w:sz w:val="21"/>
                <w:szCs w:val="21"/>
              </w:rPr>
            </w:pPr>
            <w:r w:rsidRPr="00D41B71">
              <w:rPr>
                <w:sz w:val="21"/>
                <w:szCs w:val="21"/>
              </w:rPr>
              <w:t>-</w:t>
            </w:r>
          </w:p>
        </w:tc>
        <w:tc>
          <w:tcPr>
            <w:tcW w:w="946" w:type="pct"/>
            <w:tcBorders>
              <w:bottom w:val="nil"/>
            </w:tcBorders>
            <w:shd w:val="clear" w:color="auto" w:fill="auto"/>
            <w:vAlign w:val="center"/>
            <w:hideMark/>
          </w:tcPr>
          <w:p w14:paraId="2F238C7C" w14:textId="77777777" w:rsidR="00405889" w:rsidRPr="00D41B71" w:rsidRDefault="00405889" w:rsidP="002F27FB">
            <w:pPr>
              <w:jc w:val="center"/>
              <w:rPr>
                <w:sz w:val="21"/>
                <w:szCs w:val="21"/>
              </w:rPr>
            </w:pPr>
            <w:r w:rsidRPr="00D41B71">
              <w:rPr>
                <w:sz w:val="21"/>
                <w:szCs w:val="21"/>
              </w:rPr>
              <w:t>-</w:t>
            </w:r>
          </w:p>
        </w:tc>
        <w:tc>
          <w:tcPr>
            <w:tcW w:w="1043" w:type="pct"/>
            <w:tcBorders>
              <w:bottom w:val="nil"/>
            </w:tcBorders>
            <w:shd w:val="clear" w:color="auto" w:fill="auto"/>
            <w:vAlign w:val="center"/>
            <w:hideMark/>
          </w:tcPr>
          <w:p w14:paraId="01D132EA" w14:textId="77777777" w:rsidR="00405889" w:rsidRPr="00D41B71" w:rsidRDefault="00405889" w:rsidP="002F27FB">
            <w:pPr>
              <w:jc w:val="center"/>
              <w:rPr>
                <w:sz w:val="21"/>
                <w:szCs w:val="21"/>
              </w:rPr>
            </w:pPr>
            <w:r w:rsidRPr="00D41B71">
              <w:rPr>
                <w:sz w:val="21"/>
                <w:szCs w:val="21"/>
              </w:rPr>
              <w:t>10,880 (0.8)</w:t>
            </w:r>
          </w:p>
        </w:tc>
      </w:tr>
      <w:tr w:rsidR="00405889" w:rsidRPr="00D41B71" w14:paraId="4C9EC53C" w14:textId="77777777" w:rsidTr="002F27FB">
        <w:trPr>
          <w:trHeight w:val="320"/>
        </w:trPr>
        <w:tc>
          <w:tcPr>
            <w:tcW w:w="2051" w:type="pct"/>
            <w:tcBorders>
              <w:top w:val="nil"/>
              <w:bottom w:val="single" w:sz="4" w:space="0" w:color="auto"/>
            </w:tcBorders>
            <w:shd w:val="clear" w:color="auto" w:fill="auto"/>
            <w:vAlign w:val="center"/>
            <w:hideMark/>
          </w:tcPr>
          <w:p w14:paraId="3DCA9318" w14:textId="77777777" w:rsidR="00405889" w:rsidRPr="00D41B71" w:rsidRDefault="00405889" w:rsidP="002F27FB">
            <w:pPr>
              <w:rPr>
                <w:sz w:val="21"/>
                <w:szCs w:val="21"/>
              </w:rPr>
            </w:pPr>
            <w:r w:rsidRPr="00D41B71">
              <w:rPr>
                <w:sz w:val="21"/>
                <w:szCs w:val="21"/>
              </w:rPr>
              <w:t>Prostate cancer</w:t>
            </w:r>
          </w:p>
        </w:tc>
        <w:tc>
          <w:tcPr>
            <w:tcW w:w="960" w:type="pct"/>
            <w:tcBorders>
              <w:top w:val="nil"/>
              <w:bottom w:val="single" w:sz="4" w:space="0" w:color="auto"/>
            </w:tcBorders>
            <w:shd w:val="clear" w:color="auto" w:fill="auto"/>
            <w:vAlign w:val="center"/>
            <w:hideMark/>
          </w:tcPr>
          <w:p w14:paraId="1F79E027" w14:textId="77777777" w:rsidR="00405889" w:rsidRPr="00D41B71" w:rsidRDefault="00405889" w:rsidP="002F27FB">
            <w:pPr>
              <w:jc w:val="center"/>
              <w:rPr>
                <w:sz w:val="21"/>
                <w:szCs w:val="21"/>
              </w:rPr>
            </w:pPr>
            <w:r w:rsidRPr="00D41B71">
              <w:rPr>
                <w:sz w:val="21"/>
                <w:szCs w:val="21"/>
              </w:rPr>
              <w:t>-</w:t>
            </w:r>
          </w:p>
        </w:tc>
        <w:tc>
          <w:tcPr>
            <w:tcW w:w="946" w:type="pct"/>
            <w:tcBorders>
              <w:top w:val="nil"/>
              <w:bottom w:val="single" w:sz="4" w:space="0" w:color="auto"/>
            </w:tcBorders>
            <w:shd w:val="clear" w:color="auto" w:fill="auto"/>
            <w:vAlign w:val="center"/>
            <w:hideMark/>
          </w:tcPr>
          <w:p w14:paraId="2199093E" w14:textId="77777777" w:rsidR="00405889" w:rsidRPr="00D41B71" w:rsidRDefault="00405889" w:rsidP="002F27FB">
            <w:pPr>
              <w:jc w:val="center"/>
              <w:rPr>
                <w:sz w:val="21"/>
                <w:szCs w:val="21"/>
              </w:rPr>
            </w:pPr>
            <w:r w:rsidRPr="00D41B71">
              <w:rPr>
                <w:sz w:val="21"/>
                <w:szCs w:val="21"/>
              </w:rPr>
              <w:t>6,915 (0.6)</w:t>
            </w:r>
          </w:p>
        </w:tc>
        <w:tc>
          <w:tcPr>
            <w:tcW w:w="1043" w:type="pct"/>
            <w:tcBorders>
              <w:top w:val="nil"/>
              <w:bottom w:val="single" w:sz="4" w:space="0" w:color="auto"/>
            </w:tcBorders>
            <w:shd w:val="clear" w:color="auto" w:fill="auto"/>
            <w:vAlign w:val="center"/>
            <w:hideMark/>
          </w:tcPr>
          <w:p w14:paraId="07045789" w14:textId="77777777" w:rsidR="00405889" w:rsidRPr="00D41B71" w:rsidRDefault="00405889" w:rsidP="002F27FB">
            <w:pPr>
              <w:jc w:val="center"/>
              <w:rPr>
                <w:sz w:val="21"/>
                <w:szCs w:val="21"/>
              </w:rPr>
            </w:pPr>
            <w:r w:rsidRPr="00D41B71">
              <w:rPr>
                <w:sz w:val="21"/>
                <w:szCs w:val="21"/>
              </w:rPr>
              <w:t>-</w:t>
            </w:r>
          </w:p>
        </w:tc>
      </w:tr>
      <w:tr w:rsidR="00405889" w:rsidRPr="00D41B71" w14:paraId="6055B5DD" w14:textId="77777777" w:rsidTr="002F27FB">
        <w:trPr>
          <w:trHeight w:val="320"/>
        </w:trPr>
        <w:tc>
          <w:tcPr>
            <w:tcW w:w="2051" w:type="pct"/>
            <w:tcBorders>
              <w:top w:val="single" w:sz="4" w:space="0" w:color="auto"/>
              <w:bottom w:val="single" w:sz="4" w:space="0" w:color="auto"/>
            </w:tcBorders>
            <w:shd w:val="clear" w:color="auto" w:fill="auto"/>
            <w:vAlign w:val="center"/>
            <w:hideMark/>
          </w:tcPr>
          <w:p w14:paraId="02017DEB" w14:textId="77777777" w:rsidR="00405889" w:rsidRPr="00D41B71" w:rsidRDefault="00405889" w:rsidP="002F27FB">
            <w:pPr>
              <w:rPr>
                <w:b/>
                <w:bCs/>
                <w:sz w:val="21"/>
                <w:szCs w:val="21"/>
              </w:rPr>
            </w:pPr>
            <w:r w:rsidRPr="00D41B71">
              <w:rPr>
                <w:b/>
                <w:bCs/>
                <w:sz w:val="21"/>
                <w:szCs w:val="21"/>
              </w:rPr>
              <w:t>Migrant background, n (%)</w:t>
            </w:r>
          </w:p>
        </w:tc>
        <w:tc>
          <w:tcPr>
            <w:tcW w:w="960" w:type="pct"/>
            <w:tcBorders>
              <w:top w:val="single" w:sz="4" w:space="0" w:color="auto"/>
              <w:bottom w:val="single" w:sz="4" w:space="0" w:color="auto"/>
            </w:tcBorders>
            <w:shd w:val="clear" w:color="auto" w:fill="auto"/>
            <w:vAlign w:val="center"/>
            <w:hideMark/>
          </w:tcPr>
          <w:p w14:paraId="0E486229" w14:textId="77777777" w:rsidR="00405889" w:rsidRPr="00D41B71" w:rsidRDefault="00405889" w:rsidP="002F27FB">
            <w:pPr>
              <w:jc w:val="center"/>
              <w:rPr>
                <w:b/>
                <w:bCs/>
                <w:sz w:val="21"/>
                <w:szCs w:val="21"/>
              </w:rPr>
            </w:pPr>
          </w:p>
        </w:tc>
        <w:tc>
          <w:tcPr>
            <w:tcW w:w="946" w:type="pct"/>
            <w:tcBorders>
              <w:top w:val="single" w:sz="4" w:space="0" w:color="auto"/>
              <w:bottom w:val="single" w:sz="4" w:space="0" w:color="auto"/>
            </w:tcBorders>
            <w:shd w:val="clear" w:color="auto" w:fill="auto"/>
            <w:vAlign w:val="center"/>
            <w:hideMark/>
          </w:tcPr>
          <w:p w14:paraId="09EA84CF" w14:textId="77777777" w:rsidR="00405889" w:rsidRPr="00D41B71" w:rsidRDefault="00405889" w:rsidP="002F27FB">
            <w:pPr>
              <w:jc w:val="center"/>
              <w:rPr>
                <w:sz w:val="21"/>
                <w:szCs w:val="21"/>
              </w:rPr>
            </w:pPr>
          </w:p>
        </w:tc>
        <w:tc>
          <w:tcPr>
            <w:tcW w:w="1043" w:type="pct"/>
            <w:tcBorders>
              <w:top w:val="single" w:sz="4" w:space="0" w:color="auto"/>
              <w:bottom w:val="single" w:sz="4" w:space="0" w:color="auto"/>
            </w:tcBorders>
            <w:shd w:val="clear" w:color="auto" w:fill="auto"/>
            <w:vAlign w:val="center"/>
            <w:hideMark/>
          </w:tcPr>
          <w:p w14:paraId="04F5AF60" w14:textId="77777777" w:rsidR="00405889" w:rsidRPr="00D41B71" w:rsidRDefault="00405889" w:rsidP="002F27FB">
            <w:pPr>
              <w:jc w:val="center"/>
              <w:rPr>
                <w:sz w:val="21"/>
                <w:szCs w:val="21"/>
              </w:rPr>
            </w:pPr>
          </w:p>
        </w:tc>
      </w:tr>
      <w:tr w:rsidR="00405889" w:rsidRPr="00D41B71" w14:paraId="24E97AB4" w14:textId="77777777" w:rsidTr="002F27FB">
        <w:trPr>
          <w:trHeight w:val="320"/>
        </w:trPr>
        <w:tc>
          <w:tcPr>
            <w:tcW w:w="2051" w:type="pct"/>
            <w:tcBorders>
              <w:top w:val="single" w:sz="4" w:space="0" w:color="auto"/>
            </w:tcBorders>
            <w:shd w:val="clear" w:color="auto" w:fill="auto"/>
            <w:vAlign w:val="center"/>
            <w:hideMark/>
          </w:tcPr>
          <w:p w14:paraId="532EBDC5" w14:textId="77777777" w:rsidR="00405889" w:rsidRPr="00D41B71" w:rsidRDefault="00405889" w:rsidP="002F27FB">
            <w:pPr>
              <w:rPr>
                <w:sz w:val="21"/>
                <w:szCs w:val="21"/>
              </w:rPr>
            </w:pPr>
            <w:r w:rsidRPr="00D41B71">
              <w:rPr>
                <w:sz w:val="21"/>
                <w:szCs w:val="21"/>
              </w:rPr>
              <w:t>Belgian</w:t>
            </w:r>
          </w:p>
        </w:tc>
        <w:tc>
          <w:tcPr>
            <w:tcW w:w="960" w:type="pct"/>
            <w:tcBorders>
              <w:top w:val="single" w:sz="4" w:space="0" w:color="auto"/>
            </w:tcBorders>
            <w:shd w:val="clear" w:color="auto" w:fill="auto"/>
            <w:vAlign w:val="center"/>
            <w:hideMark/>
          </w:tcPr>
          <w:p w14:paraId="43330A47" w14:textId="77777777" w:rsidR="00405889" w:rsidRPr="00D41B71" w:rsidRDefault="00405889" w:rsidP="002F27FB">
            <w:pPr>
              <w:jc w:val="center"/>
              <w:rPr>
                <w:sz w:val="21"/>
                <w:szCs w:val="21"/>
              </w:rPr>
            </w:pPr>
            <w:r w:rsidRPr="00D41B71">
              <w:rPr>
                <w:sz w:val="21"/>
                <w:szCs w:val="21"/>
              </w:rPr>
              <w:t>1,999,495 (81.9)</w:t>
            </w:r>
          </w:p>
        </w:tc>
        <w:tc>
          <w:tcPr>
            <w:tcW w:w="946" w:type="pct"/>
            <w:tcBorders>
              <w:top w:val="single" w:sz="4" w:space="0" w:color="auto"/>
            </w:tcBorders>
            <w:shd w:val="clear" w:color="auto" w:fill="auto"/>
            <w:vAlign w:val="center"/>
            <w:hideMark/>
          </w:tcPr>
          <w:p w14:paraId="181E2C39" w14:textId="77777777" w:rsidR="00405889" w:rsidRPr="00D41B71" w:rsidRDefault="00405889" w:rsidP="002F27FB">
            <w:pPr>
              <w:jc w:val="center"/>
              <w:rPr>
                <w:sz w:val="21"/>
                <w:szCs w:val="21"/>
              </w:rPr>
            </w:pPr>
            <w:r w:rsidRPr="00D41B71">
              <w:rPr>
                <w:sz w:val="21"/>
                <w:szCs w:val="21"/>
              </w:rPr>
              <w:t>939,409 (81.1)</w:t>
            </w:r>
          </w:p>
        </w:tc>
        <w:tc>
          <w:tcPr>
            <w:tcW w:w="1043" w:type="pct"/>
            <w:tcBorders>
              <w:top w:val="single" w:sz="4" w:space="0" w:color="auto"/>
            </w:tcBorders>
            <w:shd w:val="clear" w:color="auto" w:fill="auto"/>
            <w:vAlign w:val="center"/>
            <w:hideMark/>
          </w:tcPr>
          <w:p w14:paraId="589345CC" w14:textId="77777777" w:rsidR="00405889" w:rsidRPr="00D41B71" w:rsidRDefault="00405889" w:rsidP="002F27FB">
            <w:pPr>
              <w:jc w:val="center"/>
              <w:rPr>
                <w:sz w:val="21"/>
                <w:szCs w:val="21"/>
              </w:rPr>
            </w:pPr>
            <w:r w:rsidRPr="00D41B71">
              <w:rPr>
                <w:sz w:val="21"/>
                <w:szCs w:val="21"/>
              </w:rPr>
              <w:t>1,060,086 (82.7)</w:t>
            </w:r>
          </w:p>
        </w:tc>
      </w:tr>
      <w:tr w:rsidR="00405889" w:rsidRPr="00D41B71" w14:paraId="25753EDA" w14:textId="77777777" w:rsidTr="002F27FB">
        <w:trPr>
          <w:trHeight w:val="320"/>
        </w:trPr>
        <w:tc>
          <w:tcPr>
            <w:tcW w:w="2051" w:type="pct"/>
            <w:tcBorders>
              <w:bottom w:val="nil"/>
            </w:tcBorders>
            <w:shd w:val="clear" w:color="auto" w:fill="auto"/>
            <w:vAlign w:val="center"/>
            <w:hideMark/>
          </w:tcPr>
          <w:p w14:paraId="2C150BD5" w14:textId="77777777" w:rsidR="00405889" w:rsidRPr="00D41B71" w:rsidRDefault="00405889" w:rsidP="002F27FB">
            <w:pPr>
              <w:rPr>
                <w:sz w:val="21"/>
                <w:szCs w:val="21"/>
              </w:rPr>
            </w:pPr>
            <w:r w:rsidRPr="00D41B71">
              <w:rPr>
                <w:sz w:val="21"/>
                <w:szCs w:val="21"/>
              </w:rPr>
              <w:t>Other HIC</w:t>
            </w:r>
          </w:p>
        </w:tc>
        <w:tc>
          <w:tcPr>
            <w:tcW w:w="960" w:type="pct"/>
            <w:tcBorders>
              <w:bottom w:val="nil"/>
            </w:tcBorders>
            <w:shd w:val="clear" w:color="auto" w:fill="auto"/>
            <w:vAlign w:val="center"/>
            <w:hideMark/>
          </w:tcPr>
          <w:p w14:paraId="3E73A5F3" w14:textId="77777777" w:rsidR="00405889" w:rsidRPr="00D41B71" w:rsidRDefault="00405889" w:rsidP="002F27FB">
            <w:pPr>
              <w:jc w:val="center"/>
              <w:rPr>
                <w:sz w:val="21"/>
                <w:szCs w:val="21"/>
              </w:rPr>
            </w:pPr>
            <w:r w:rsidRPr="00D41B71">
              <w:rPr>
                <w:sz w:val="21"/>
                <w:szCs w:val="21"/>
              </w:rPr>
              <w:t>270,715 (11.1)</w:t>
            </w:r>
          </w:p>
        </w:tc>
        <w:tc>
          <w:tcPr>
            <w:tcW w:w="946" w:type="pct"/>
            <w:tcBorders>
              <w:bottom w:val="nil"/>
            </w:tcBorders>
            <w:shd w:val="clear" w:color="auto" w:fill="auto"/>
            <w:vAlign w:val="center"/>
            <w:hideMark/>
          </w:tcPr>
          <w:p w14:paraId="75B21E43" w14:textId="77777777" w:rsidR="00405889" w:rsidRPr="00D41B71" w:rsidRDefault="00405889" w:rsidP="002F27FB">
            <w:pPr>
              <w:jc w:val="center"/>
              <w:rPr>
                <w:sz w:val="21"/>
                <w:szCs w:val="21"/>
              </w:rPr>
            </w:pPr>
            <w:r w:rsidRPr="00D41B71">
              <w:rPr>
                <w:sz w:val="21"/>
                <w:szCs w:val="21"/>
              </w:rPr>
              <w:t>131,778 (11.4)</w:t>
            </w:r>
          </w:p>
        </w:tc>
        <w:tc>
          <w:tcPr>
            <w:tcW w:w="1043" w:type="pct"/>
            <w:tcBorders>
              <w:bottom w:val="nil"/>
            </w:tcBorders>
            <w:shd w:val="clear" w:color="auto" w:fill="auto"/>
            <w:vAlign w:val="center"/>
            <w:hideMark/>
          </w:tcPr>
          <w:p w14:paraId="4D3FD904" w14:textId="77777777" w:rsidR="00405889" w:rsidRPr="00D41B71" w:rsidRDefault="00405889" w:rsidP="002F27FB">
            <w:pPr>
              <w:jc w:val="center"/>
              <w:rPr>
                <w:sz w:val="21"/>
                <w:szCs w:val="21"/>
              </w:rPr>
            </w:pPr>
            <w:r w:rsidRPr="00D41B71">
              <w:rPr>
                <w:sz w:val="21"/>
                <w:szCs w:val="21"/>
              </w:rPr>
              <w:t>138,937 (10.8)</w:t>
            </w:r>
          </w:p>
        </w:tc>
      </w:tr>
      <w:tr w:rsidR="00405889" w:rsidRPr="00D41B71" w14:paraId="37B1C7F8" w14:textId="77777777" w:rsidTr="002F27FB">
        <w:trPr>
          <w:trHeight w:val="320"/>
        </w:trPr>
        <w:tc>
          <w:tcPr>
            <w:tcW w:w="2051" w:type="pct"/>
            <w:tcBorders>
              <w:top w:val="nil"/>
              <w:bottom w:val="single" w:sz="4" w:space="0" w:color="auto"/>
            </w:tcBorders>
            <w:shd w:val="clear" w:color="auto" w:fill="auto"/>
            <w:vAlign w:val="center"/>
            <w:hideMark/>
          </w:tcPr>
          <w:p w14:paraId="1DF90737" w14:textId="77777777" w:rsidR="00405889" w:rsidRPr="00D41B71" w:rsidRDefault="00405889" w:rsidP="002F27FB">
            <w:pPr>
              <w:rPr>
                <w:sz w:val="21"/>
                <w:szCs w:val="21"/>
              </w:rPr>
            </w:pPr>
            <w:r w:rsidRPr="00D41B71">
              <w:rPr>
                <w:sz w:val="21"/>
                <w:szCs w:val="21"/>
              </w:rPr>
              <w:t>LMIC</w:t>
            </w:r>
          </w:p>
        </w:tc>
        <w:tc>
          <w:tcPr>
            <w:tcW w:w="960" w:type="pct"/>
            <w:tcBorders>
              <w:top w:val="nil"/>
              <w:bottom w:val="single" w:sz="4" w:space="0" w:color="auto"/>
            </w:tcBorders>
            <w:shd w:val="clear" w:color="auto" w:fill="auto"/>
            <w:vAlign w:val="center"/>
            <w:hideMark/>
          </w:tcPr>
          <w:p w14:paraId="75969089" w14:textId="77777777" w:rsidR="00405889" w:rsidRPr="00D41B71" w:rsidRDefault="00405889" w:rsidP="002F27FB">
            <w:pPr>
              <w:jc w:val="center"/>
              <w:rPr>
                <w:sz w:val="21"/>
                <w:szCs w:val="21"/>
              </w:rPr>
            </w:pPr>
            <w:r w:rsidRPr="00D41B71">
              <w:rPr>
                <w:sz w:val="21"/>
                <w:szCs w:val="21"/>
              </w:rPr>
              <w:t>171,356 (7.0)</w:t>
            </w:r>
          </w:p>
        </w:tc>
        <w:tc>
          <w:tcPr>
            <w:tcW w:w="946" w:type="pct"/>
            <w:tcBorders>
              <w:top w:val="nil"/>
              <w:bottom w:val="single" w:sz="4" w:space="0" w:color="auto"/>
            </w:tcBorders>
            <w:shd w:val="clear" w:color="auto" w:fill="auto"/>
            <w:vAlign w:val="center"/>
            <w:hideMark/>
          </w:tcPr>
          <w:p w14:paraId="2C33C385" w14:textId="77777777" w:rsidR="00405889" w:rsidRPr="00D41B71" w:rsidRDefault="00405889" w:rsidP="002F27FB">
            <w:pPr>
              <w:jc w:val="center"/>
              <w:rPr>
                <w:sz w:val="21"/>
                <w:szCs w:val="21"/>
              </w:rPr>
            </w:pPr>
            <w:r w:rsidRPr="00D41B71">
              <w:rPr>
                <w:sz w:val="21"/>
                <w:szCs w:val="21"/>
              </w:rPr>
              <w:t>87,860 (7.6)</w:t>
            </w:r>
          </w:p>
        </w:tc>
        <w:tc>
          <w:tcPr>
            <w:tcW w:w="1043" w:type="pct"/>
            <w:tcBorders>
              <w:top w:val="nil"/>
              <w:bottom w:val="single" w:sz="4" w:space="0" w:color="auto"/>
            </w:tcBorders>
            <w:shd w:val="clear" w:color="auto" w:fill="auto"/>
            <w:vAlign w:val="center"/>
            <w:hideMark/>
          </w:tcPr>
          <w:p w14:paraId="58E08095" w14:textId="77777777" w:rsidR="00405889" w:rsidRPr="00D41B71" w:rsidRDefault="00405889" w:rsidP="002F27FB">
            <w:pPr>
              <w:jc w:val="center"/>
              <w:rPr>
                <w:sz w:val="21"/>
                <w:szCs w:val="21"/>
              </w:rPr>
            </w:pPr>
            <w:r w:rsidRPr="00D41B71">
              <w:rPr>
                <w:sz w:val="21"/>
                <w:szCs w:val="21"/>
              </w:rPr>
              <w:t>83,496 (6.5)</w:t>
            </w:r>
          </w:p>
        </w:tc>
      </w:tr>
      <w:tr w:rsidR="00405889" w:rsidRPr="00D41B71" w14:paraId="41C8D422" w14:textId="77777777" w:rsidTr="002F27FB">
        <w:trPr>
          <w:trHeight w:val="320"/>
        </w:trPr>
        <w:tc>
          <w:tcPr>
            <w:tcW w:w="2051" w:type="pct"/>
            <w:tcBorders>
              <w:top w:val="single" w:sz="4" w:space="0" w:color="auto"/>
              <w:bottom w:val="single" w:sz="4" w:space="0" w:color="auto"/>
            </w:tcBorders>
            <w:shd w:val="clear" w:color="auto" w:fill="auto"/>
            <w:vAlign w:val="center"/>
            <w:hideMark/>
          </w:tcPr>
          <w:p w14:paraId="3A5147E4" w14:textId="77777777" w:rsidR="00405889" w:rsidRPr="00D41B71" w:rsidRDefault="00405889" w:rsidP="002F27FB">
            <w:pPr>
              <w:rPr>
                <w:b/>
                <w:bCs/>
                <w:sz w:val="21"/>
                <w:szCs w:val="21"/>
              </w:rPr>
            </w:pPr>
            <w:r w:rsidRPr="00D41B71">
              <w:rPr>
                <w:b/>
                <w:bCs/>
                <w:sz w:val="21"/>
                <w:szCs w:val="21"/>
              </w:rPr>
              <w:t>Educational level, n (%)</w:t>
            </w:r>
          </w:p>
        </w:tc>
        <w:tc>
          <w:tcPr>
            <w:tcW w:w="960" w:type="pct"/>
            <w:tcBorders>
              <w:top w:val="single" w:sz="4" w:space="0" w:color="auto"/>
              <w:bottom w:val="single" w:sz="4" w:space="0" w:color="auto"/>
            </w:tcBorders>
            <w:shd w:val="clear" w:color="auto" w:fill="auto"/>
            <w:vAlign w:val="center"/>
            <w:hideMark/>
          </w:tcPr>
          <w:p w14:paraId="5B3FC4A7" w14:textId="77777777" w:rsidR="00405889" w:rsidRPr="00D41B71" w:rsidRDefault="00405889" w:rsidP="002F27FB">
            <w:pPr>
              <w:jc w:val="center"/>
              <w:rPr>
                <w:b/>
                <w:bCs/>
                <w:sz w:val="21"/>
                <w:szCs w:val="21"/>
              </w:rPr>
            </w:pPr>
          </w:p>
        </w:tc>
        <w:tc>
          <w:tcPr>
            <w:tcW w:w="946" w:type="pct"/>
            <w:tcBorders>
              <w:top w:val="single" w:sz="4" w:space="0" w:color="auto"/>
              <w:bottom w:val="single" w:sz="4" w:space="0" w:color="auto"/>
            </w:tcBorders>
            <w:shd w:val="clear" w:color="auto" w:fill="auto"/>
            <w:vAlign w:val="center"/>
            <w:hideMark/>
          </w:tcPr>
          <w:p w14:paraId="386817CE" w14:textId="77777777" w:rsidR="00405889" w:rsidRPr="00D41B71" w:rsidRDefault="00405889" w:rsidP="002F27FB">
            <w:pPr>
              <w:jc w:val="center"/>
              <w:rPr>
                <w:sz w:val="21"/>
                <w:szCs w:val="21"/>
              </w:rPr>
            </w:pPr>
          </w:p>
        </w:tc>
        <w:tc>
          <w:tcPr>
            <w:tcW w:w="1043" w:type="pct"/>
            <w:tcBorders>
              <w:top w:val="single" w:sz="4" w:space="0" w:color="auto"/>
              <w:bottom w:val="single" w:sz="4" w:space="0" w:color="auto"/>
            </w:tcBorders>
            <w:shd w:val="clear" w:color="auto" w:fill="auto"/>
            <w:vAlign w:val="center"/>
            <w:hideMark/>
          </w:tcPr>
          <w:p w14:paraId="0C660B36" w14:textId="77777777" w:rsidR="00405889" w:rsidRPr="00D41B71" w:rsidRDefault="00405889" w:rsidP="002F27FB">
            <w:pPr>
              <w:jc w:val="center"/>
              <w:rPr>
                <w:sz w:val="21"/>
                <w:szCs w:val="21"/>
              </w:rPr>
            </w:pPr>
          </w:p>
        </w:tc>
      </w:tr>
      <w:tr w:rsidR="00405889" w:rsidRPr="00D41B71" w14:paraId="127FB2B1" w14:textId="77777777" w:rsidTr="002F27FB">
        <w:trPr>
          <w:trHeight w:val="320"/>
        </w:trPr>
        <w:tc>
          <w:tcPr>
            <w:tcW w:w="2051" w:type="pct"/>
            <w:tcBorders>
              <w:top w:val="single" w:sz="4" w:space="0" w:color="auto"/>
            </w:tcBorders>
            <w:shd w:val="clear" w:color="auto" w:fill="auto"/>
            <w:vAlign w:val="center"/>
            <w:hideMark/>
          </w:tcPr>
          <w:p w14:paraId="507EFB0F" w14:textId="77777777" w:rsidR="00405889" w:rsidRPr="00D41B71" w:rsidRDefault="00405889" w:rsidP="002F27FB">
            <w:pPr>
              <w:rPr>
                <w:sz w:val="21"/>
                <w:szCs w:val="21"/>
              </w:rPr>
            </w:pPr>
            <w:r w:rsidRPr="00D41B71">
              <w:rPr>
                <w:sz w:val="21"/>
                <w:szCs w:val="21"/>
              </w:rPr>
              <w:t>Tertiary education</w:t>
            </w:r>
          </w:p>
        </w:tc>
        <w:tc>
          <w:tcPr>
            <w:tcW w:w="960" w:type="pct"/>
            <w:tcBorders>
              <w:top w:val="single" w:sz="4" w:space="0" w:color="auto"/>
            </w:tcBorders>
            <w:shd w:val="clear" w:color="auto" w:fill="auto"/>
            <w:vAlign w:val="center"/>
            <w:hideMark/>
          </w:tcPr>
          <w:p w14:paraId="32725F11" w14:textId="77777777" w:rsidR="00405889" w:rsidRPr="00D41B71" w:rsidRDefault="00405889" w:rsidP="002F27FB">
            <w:pPr>
              <w:jc w:val="center"/>
              <w:rPr>
                <w:sz w:val="21"/>
                <w:szCs w:val="21"/>
              </w:rPr>
            </w:pPr>
            <w:r w:rsidRPr="00D41B71">
              <w:rPr>
                <w:sz w:val="21"/>
                <w:szCs w:val="21"/>
              </w:rPr>
              <w:t>641,973 (26.3)</w:t>
            </w:r>
          </w:p>
        </w:tc>
        <w:tc>
          <w:tcPr>
            <w:tcW w:w="946" w:type="pct"/>
            <w:tcBorders>
              <w:top w:val="single" w:sz="4" w:space="0" w:color="auto"/>
            </w:tcBorders>
            <w:shd w:val="clear" w:color="auto" w:fill="auto"/>
            <w:vAlign w:val="center"/>
            <w:hideMark/>
          </w:tcPr>
          <w:p w14:paraId="68B5E93D" w14:textId="77777777" w:rsidR="00405889" w:rsidRPr="00D41B71" w:rsidRDefault="00405889" w:rsidP="002F27FB">
            <w:pPr>
              <w:jc w:val="center"/>
              <w:rPr>
                <w:sz w:val="21"/>
                <w:szCs w:val="21"/>
              </w:rPr>
            </w:pPr>
            <w:r w:rsidRPr="00D41B71">
              <w:rPr>
                <w:sz w:val="21"/>
                <w:szCs w:val="21"/>
              </w:rPr>
              <w:t>327,536 (28.3)</w:t>
            </w:r>
          </w:p>
        </w:tc>
        <w:tc>
          <w:tcPr>
            <w:tcW w:w="1043" w:type="pct"/>
            <w:tcBorders>
              <w:top w:val="single" w:sz="4" w:space="0" w:color="auto"/>
            </w:tcBorders>
            <w:shd w:val="clear" w:color="auto" w:fill="auto"/>
            <w:vAlign w:val="center"/>
            <w:hideMark/>
          </w:tcPr>
          <w:p w14:paraId="25C1AFBD" w14:textId="77777777" w:rsidR="00405889" w:rsidRPr="00D41B71" w:rsidRDefault="00405889" w:rsidP="002F27FB">
            <w:pPr>
              <w:jc w:val="center"/>
              <w:rPr>
                <w:sz w:val="21"/>
                <w:szCs w:val="21"/>
              </w:rPr>
            </w:pPr>
            <w:r w:rsidRPr="00D41B71">
              <w:rPr>
                <w:sz w:val="21"/>
                <w:szCs w:val="21"/>
              </w:rPr>
              <w:t>314,437 (24.5)</w:t>
            </w:r>
          </w:p>
        </w:tc>
      </w:tr>
      <w:tr w:rsidR="00405889" w:rsidRPr="00D41B71" w14:paraId="1AF38D81" w14:textId="77777777" w:rsidTr="002F27FB">
        <w:trPr>
          <w:trHeight w:val="320"/>
        </w:trPr>
        <w:tc>
          <w:tcPr>
            <w:tcW w:w="2051" w:type="pct"/>
            <w:shd w:val="clear" w:color="auto" w:fill="auto"/>
            <w:vAlign w:val="center"/>
            <w:hideMark/>
          </w:tcPr>
          <w:p w14:paraId="47F6D949" w14:textId="77777777" w:rsidR="00405889" w:rsidRPr="00D41B71" w:rsidRDefault="00405889" w:rsidP="002F27FB">
            <w:pPr>
              <w:rPr>
                <w:sz w:val="21"/>
                <w:szCs w:val="21"/>
              </w:rPr>
            </w:pPr>
            <w:r w:rsidRPr="00D41B71">
              <w:rPr>
                <w:sz w:val="21"/>
                <w:szCs w:val="21"/>
              </w:rPr>
              <w:t>High</w:t>
            </w:r>
            <w:r w:rsidRPr="00D41B71">
              <w:rPr>
                <w:sz w:val="21"/>
                <w:szCs w:val="21"/>
                <w:lang w:val="en-US"/>
              </w:rPr>
              <w:t>er</w:t>
            </w:r>
            <w:r w:rsidRPr="00D41B71">
              <w:rPr>
                <w:sz w:val="21"/>
                <w:szCs w:val="21"/>
              </w:rPr>
              <w:t xml:space="preserve"> secondary</w:t>
            </w:r>
          </w:p>
        </w:tc>
        <w:tc>
          <w:tcPr>
            <w:tcW w:w="960" w:type="pct"/>
            <w:shd w:val="clear" w:color="auto" w:fill="auto"/>
            <w:vAlign w:val="center"/>
            <w:hideMark/>
          </w:tcPr>
          <w:p w14:paraId="63FAAD12" w14:textId="77777777" w:rsidR="00405889" w:rsidRPr="00D41B71" w:rsidRDefault="00405889" w:rsidP="002F27FB">
            <w:pPr>
              <w:jc w:val="center"/>
              <w:rPr>
                <w:sz w:val="21"/>
                <w:szCs w:val="21"/>
              </w:rPr>
            </w:pPr>
            <w:r w:rsidRPr="00D41B71">
              <w:rPr>
                <w:sz w:val="21"/>
                <w:szCs w:val="21"/>
              </w:rPr>
              <w:t>621,544 (25.5)</w:t>
            </w:r>
          </w:p>
        </w:tc>
        <w:tc>
          <w:tcPr>
            <w:tcW w:w="946" w:type="pct"/>
            <w:shd w:val="clear" w:color="auto" w:fill="auto"/>
            <w:vAlign w:val="center"/>
            <w:hideMark/>
          </w:tcPr>
          <w:p w14:paraId="22CE666E" w14:textId="77777777" w:rsidR="00405889" w:rsidRPr="00D41B71" w:rsidRDefault="00405889" w:rsidP="002F27FB">
            <w:pPr>
              <w:jc w:val="center"/>
              <w:rPr>
                <w:sz w:val="21"/>
                <w:szCs w:val="21"/>
              </w:rPr>
            </w:pPr>
            <w:r w:rsidRPr="00D41B71">
              <w:rPr>
                <w:sz w:val="21"/>
                <w:szCs w:val="21"/>
              </w:rPr>
              <w:t>300,914 (26.0)</w:t>
            </w:r>
          </w:p>
        </w:tc>
        <w:tc>
          <w:tcPr>
            <w:tcW w:w="1043" w:type="pct"/>
            <w:shd w:val="clear" w:color="auto" w:fill="auto"/>
            <w:vAlign w:val="center"/>
            <w:hideMark/>
          </w:tcPr>
          <w:p w14:paraId="633C4A19" w14:textId="77777777" w:rsidR="00405889" w:rsidRPr="00D41B71" w:rsidRDefault="00405889" w:rsidP="002F27FB">
            <w:pPr>
              <w:jc w:val="center"/>
              <w:rPr>
                <w:sz w:val="21"/>
                <w:szCs w:val="21"/>
              </w:rPr>
            </w:pPr>
            <w:r w:rsidRPr="00D41B71">
              <w:rPr>
                <w:sz w:val="21"/>
                <w:szCs w:val="21"/>
              </w:rPr>
              <w:t>320,630 (25.0)</w:t>
            </w:r>
          </w:p>
        </w:tc>
      </w:tr>
      <w:tr w:rsidR="00405889" w:rsidRPr="00D41B71" w14:paraId="3A82E249" w14:textId="77777777" w:rsidTr="002F27FB">
        <w:trPr>
          <w:trHeight w:val="320"/>
        </w:trPr>
        <w:tc>
          <w:tcPr>
            <w:tcW w:w="2051" w:type="pct"/>
            <w:tcBorders>
              <w:bottom w:val="nil"/>
            </w:tcBorders>
            <w:shd w:val="clear" w:color="auto" w:fill="auto"/>
            <w:vAlign w:val="center"/>
            <w:hideMark/>
          </w:tcPr>
          <w:p w14:paraId="0C886156" w14:textId="77777777" w:rsidR="00405889" w:rsidRPr="00D41B71" w:rsidRDefault="00405889" w:rsidP="002F27FB">
            <w:pPr>
              <w:rPr>
                <w:sz w:val="21"/>
                <w:szCs w:val="21"/>
              </w:rPr>
            </w:pPr>
            <w:r w:rsidRPr="00D41B71">
              <w:rPr>
                <w:sz w:val="21"/>
                <w:szCs w:val="21"/>
              </w:rPr>
              <w:t>Low</w:t>
            </w:r>
            <w:r w:rsidRPr="00D41B71">
              <w:rPr>
                <w:sz w:val="21"/>
                <w:szCs w:val="21"/>
                <w:lang w:val="en-US"/>
              </w:rPr>
              <w:t>er</w:t>
            </w:r>
            <w:r w:rsidRPr="00D41B71">
              <w:rPr>
                <w:sz w:val="21"/>
                <w:szCs w:val="21"/>
              </w:rPr>
              <w:t xml:space="preserve"> secondary</w:t>
            </w:r>
          </w:p>
        </w:tc>
        <w:tc>
          <w:tcPr>
            <w:tcW w:w="960" w:type="pct"/>
            <w:tcBorders>
              <w:bottom w:val="nil"/>
            </w:tcBorders>
            <w:shd w:val="clear" w:color="auto" w:fill="auto"/>
            <w:vAlign w:val="center"/>
            <w:hideMark/>
          </w:tcPr>
          <w:p w14:paraId="670AE10E" w14:textId="77777777" w:rsidR="00405889" w:rsidRPr="00D41B71" w:rsidRDefault="00405889" w:rsidP="002F27FB">
            <w:pPr>
              <w:jc w:val="center"/>
              <w:rPr>
                <w:sz w:val="21"/>
                <w:szCs w:val="21"/>
              </w:rPr>
            </w:pPr>
            <w:r w:rsidRPr="00D41B71">
              <w:rPr>
                <w:sz w:val="21"/>
                <w:szCs w:val="21"/>
              </w:rPr>
              <w:t>610,397 (25.0)</w:t>
            </w:r>
          </w:p>
        </w:tc>
        <w:tc>
          <w:tcPr>
            <w:tcW w:w="946" w:type="pct"/>
            <w:tcBorders>
              <w:bottom w:val="nil"/>
            </w:tcBorders>
            <w:shd w:val="clear" w:color="auto" w:fill="auto"/>
            <w:vAlign w:val="center"/>
            <w:hideMark/>
          </w:tcPr>
          <w:p w14:paraId="2768B47F" w14:textId="77777777" w:rsidR="00405889" w:rsidRPr="00D41B71" w:rsidRDefault="00405889" w:rsidP="002F27FB">
            <w:pPr>
              <w:jc w:val="center"/>
              <w:rPr>
                <w:sz w:val="21"/>
                <w:szCs w:val="21"/>
              </w:rPr>
            </w:pPr>
            <w:r w:rsidRPr="00D41B71">
              <w:rPr>
                <w:sz w:val="21"/>
                <w:szCs w:val="21"/>
              </w:rPr>
              <w:t>286,150 (24.7)</w:t>
            </w:r>
          </w:p>
        </w:tc>
        <w:tc>
          <w:tcPr>
            <w:tcW w:w="1043" w:type="pct"/>
            <w:tcBorders>
              <w:bottom w:val="nil"/>
            </w:tcBorders>
            <w:shd w:val="clear" w:color="auto" w:fill="auto"/>
            <w:vAlign w:val="center"/>
            <w:hideMark/>
          </w:tcPr>
          <w:p w14:paraId="76E140E1" w14:textId="77777777" w:rsidR="00405889" w:rsidRPr="00D41B71" w:rsidRDefault="00405889" w:rsidP="002F27FB">
            <w:pPr>
              <w:jc w:val="center"/>
              <w:rPr>
                <w:sz w:val="21"/>
                <w:szCs w:val="21"/>
              </w:rPr>
            </w:pPr>
            <w:r w:rsidRPr="00D41B71">
              <w:rPr>
                <w:sz w:val="21"/>
                <w:szCs w:val="21"/>
              </w:rPr>
              <w:t>324,247 (25.3)</w:t>
            </w:r>
          </w:p>
        </w:tc>
      </w:tr>
      <w:tr w:rsidR="00405889" w:rsidRPr="00D41B71" w14:paraId="3F4EA1E5" w14:textId="77777777" w:rsidTr="002F27FB">
        <w:trPr>
          <w:trHeight w:val="320"/>
        </w:trPr>
        <w:tc>
          <w:tcPr>
            <w:tcW w:w="2051" w:type="pct"/>
            <w:tcBorders>
              <w:top w:val="nil"/>
              <w:bottom w:val="single" w:sz="4" w:space="0" w:color="auto"/>
            </w:tcBorders>
            <w:shd w:val="clear" w:color="auto" w:fill="auto"/>
            <w:vAlign w:val="center"/>
            <w:hideMark/>
          </w:tcPr>
          <w:p w14:paraId="4A2FEFBF" w14:textId="77777777" w:rsidR="00405889" w:rsidRPr="00D41B71" w:rsidRDefault="00405889" w:rsidP="002F27FB">
            <w:pPr>
              <w:rPr>
                <w:sz w:val="21"/>
                <w:szCs w:val="21"/>
                <w:lang w:val="en-US"/>
              </w:rPr>
            </w:pPr>
            <w:r w:rsidRPr="00D41B71">
              <w:rPr>
                <w:sz w:val="21"/>
                <w:szCs w:val="21"/>
                <w:lang w:val="en-US"/>
              </w:rPr>
              <w:t>Primary or lower</w:t>
            </w:r>
          </w:p>
        </w:tc>
        <w:tc>
          <w:tcPr>
            <w:tcW w:w="960" w:type="pct"/>
            <w:tcBorders>
              <w:top w:val="nil"/>
              <w:bottom w:val="single" w:sz="4" w:space="0" w:color="auto"/>
            </w:tcBorders>
            <w:shd w:val="clear" w:color="auto" w:fill="auto"/>
            <w:vAlign w:val="center"/>
            <w:hideMark/>
          </w:tcPr>
          <w:p w14:paraId="2C0D5B70" w14:textId="77777777" w:rsidR="00405889" w:rsidRPr="00D41B71" w:rsidRDefault="00405889" w:rsidP="002F27FB">
            <w:pPr>
              <w:jc w:val="center"/>
              <w:rPr>
                <w:sz w:val="21"/>
                <w:szCs w:val="21"/>
              </w:rPr>
            </w:pPr>
            <w:r w:rsidRPr="00D41B71">
              <w:rPr>
                <w:sz w:val="21"/>
                <w:szCs w:val="21"/>
              </w:rPr>
              <w:t>567,652 (23.2)</w:t>
            </w:r>
          </w:p>
        </w:tc>
        <w:tc>
          <w:tcPr>
            <w:tcW w:w="946" w:type="pct"/>
            <w:tcBorders>
              <w:top w:val="nil"/>
              <w:bottom w:val="single" w:sz="4" w:space="0" w:color="auto"/>
            </w:tcBorders>
            <w:shd w:val="clear" w:color="auto" w:fill="auto"/>
            <w:vAlign w:val="center"/>
            <w:hideMark/>
          </w:tcPr>
          <w:p w14:paraId="1779A47E" w14:textId="77777777" w:rsidR="00405889" w:rsidRPr="00D41B71" w:rsidRDefault="00405889" w:rsidP="002F27FB">
            <w:pPr>
              <w:jc w:val="center"/>
              <w:rPr>
                <w:sz w:val="21"/>
                <w:szCs w:val="21"/>
              </w:rPr>
            </w:pPr>
            <w:r w:rsidRPr="00D41B71">
              <w:rPr>
                <w:sz w:val="21"/>
                <w:szCs w:val="21"/>
              </w:rPr>
              <w:t>244,447 (21.1)</w:t>
            </w:r>
          </w:p>
        </w:tc>
        <w:tc>
          <w:tcPr>
            <w:tcW w:w="1043" w:type="pct"/>
            <w:tcBorders>
              <w:top w:val="nil"/>
              <w:bottom w:val="single" w:sz="4" w:space="0" w:color="auto"/>
            </w:tcBorders>
            <w:shd w:val="clear" w:color="auto" w:fill="auto"/>
            <w:vAlign w:val="center"/>
            <w:hideMark/>
          </w:tcPr>
          <w:p w14:paraId="30A83038" w14:textId="77777777" w:rsidR="00405889" w:rsidRPr="00D41B71" w:rsidRDefault="00405889" w:rsidP="002F27FB">
            <w:pPr>
              <w:jc w:val="center"/>
              <w:rPr>
                <w:sz w:val="21"/>
                <w:szCs w:val="21"/>
              </w:rPr>
            </w:pPr>
            <w:r w:rsidRPr="00D41B71">
              <w:rPr>
                <w:sz w:val="21"/>
                <w:szCs w:val="21"/>
              </w:rPr>
              <w:t>323,205 (25.2)</w:t>
            </w:r>
          </w:p>
        </w:tc>
      </w:tr>
      <w:tr w:rsidR="00405889" w:rsidRPr="00D41B71" w14:paraId="328CDDDC" w14:textId="77777777" w:rsidTr="002F27FB">
        <w:trPr>
          <w:trHeight w:val="320"/>
        </w:trPr>
        <w:tc>
          <w:tcPr>
            <w:tcW w:w="2051" w:type="pct"/>
            <w:tcBorders>
              <w:top w:val="single" w:sz="4" w:space="0" w:color="auto"/>
              <w:bottom w:val="single" w:sz="4" w:space="0" w:color="auto"/>
            </w:tcBorders>
            <w:shd w:val="clear" w:color="auto" w:fill="auto"/>
            <w:vAlign w:val="center"/>
            <w:hideMark/>
          </w:tcPr>
          <w:p w14:paraId="46A5A7F5" w14:textId="77777777" w:rsidR="00405889" w:rsidRPr="00D41B71" w:rsidRDefault="00405889" w:rsidP="002F27FB">
            <w:pPr>
              <w:rPr>
                <w:b/>
                <w:bCs/>
                <w:sz w:val="21"/>
                <w:szCs w:val="21"/>
              </w:rPr>
            </w:pPr>
            <w:r w:rsidRPr="00D41B71">
              <w:rPr>
                <w:b/>
                <w:bCs/>
                <w:sz w:val="21"/>
                <w:szCs w:val="21"/>
              </w:rPr>
              <w:t>Housing tenure, n (%)</w:t>
            </w:r>
          </w:p>
        </w:tc>
        <w:tc>
          <w:tcPr>
            <w:tcW w:w="960" w:type="pct"/>
            <w:tcBorders>
              <w:top w:val="single" w:sz="4" w:space="0" w:color="auto"/>
              <w:bottom w:val="single" w:sz="4" w:space="0" w:color="auto"/>
            </w:tcBorders>
            <w:shd w:val="clear" w:color="auto" w:fill="auto"/>
            <w:vAlign w:val="center"/>
            <w:hideMark/>
          </w:tcPr>
          <w:p w14:paraId="5C292CB5" w14:textId="77777777" w:rsidR="00405889" w:rsidRPr="00D41B71" w:rsidRDefault="00405889" w:rsidP="002F27FB">
            <w:pPr>
              <w:jc w:val="center"/>
              <w:rPr>
                <w:b/>
                <w:bCs/>
                <w:sz w:val="21"/>
                <w:szCs w:val="21"/>
              </w:rPr>
            </w:pPr>
          </w:p>
        </w:tc>
        <w:tc>
          <w:tcPr>
            <w:tcW w:w="946" w:type="pct"/>
            <w:tcBorders>
              <w:top w:val="single" w:sz="4" w:space="0" w:color="auto"/>
              <w:bottom w:val="single" w:sz="4" w:space="0" w:color="auto"/>
            </w:tcBorders>
            <w:shd w:val="clear" w:color="auto" w:fill="auto"/>
            <w:vAlign w:val="center"/>
            <w:hideMark/>
          </w:tcPr>
          <w:p w14:paraId="32A4F944" w14:textId="77777777" w:rsidR="00405889" w:rsidRPr="00D41B71" w:rsidRDefault="00405889" w:rsidP="002F27FB">
            <w:pPr>
              <w:jc w:val="center"/>
              <w:rPr>
                <w:sz w:val="21"/>
                <w:szCs w:val="21"/>
              </w:rPr>
            </w:pPr>
          </w:p>
        </w:tc>
        <w:tc>
          <w:tcPr>
            <w:tcW w:w="1043" w:type="pct"/>
            <w:tcBorders>
              <w:top w:val="single" w:sz="4" w:space="0" w:color="auto"/>
              <w:bottom w:val="single" w:sz="4" w:space="0" w:color="auto"/>
            </w:tcBorders>
            <w:shd w:val="clear" w:color="auto" w:fill="auto"/>
            <w:vAlign w:val="center"/>
            <w:hideMark/>
          </w:tcPr>
          <w:p w14:paraId="7DFB738D" w14:textId="77777777" w:rsidR="00405889" w:rsidRPr="00D41B71" w:rsidRDefault="00405889" w:rsidP="002F27FB">
            <w:pPr>
              <w:jc w:val="center"/>
              <w:rPr>
                <w:sz w:val="21"/>
                <w:szCs w:val="21"/>
              </w:rPr>
            </w:pPr>
          </w:p>
        </w:tc>
      </w:tr>
      <w:tr w:rsidR="00405889" w:rsidRPr="00D41B71" w14:paraId="788402D7" w14:textId="77777777" w:rsidTr="002F27FB">
        <w:trPr>
          <w:trHeight w:val="320"/>
        </w:trPr>
        <w:tc>
          <w:tcPr>
            <w:tcW w:w="2051" w:type="pct"/>
            <w:tcBorders>
              <w:top w:val="single" w:sz="4" w:space="0" w:color="auto"/>
              <w:bottom w:val="nil"/>
            </w:tcBorders>
            <w:shd w:val="clear" w:color="auto" w:fill="auto"/>
            <w:vAlign w:val="center"/>
            <w:hideMark/>
          </w:tcPr>
          <w:p w14:paraId="612821A7" w14:textId="77777777" w:rsidR="00405889" w:rsidRPr="00D41B71" w:rsidRDefault="00405889" w:rsidP="002F27FB">
            <w:pPr>
              <w:rPr>
                <w:sz w:val="21"/>
                <w:szCs w:val="21"/>
              </w:rPr>
            </w:pPr>
            <w:r w:rsidRPr="00D41B71">
              <w:rPr>
                <w:sz w:val="21"/>
                <w:szCs w:val="21"/>
              </w:rPr>
              <w:t>Owner</w:t>
            </w:r>
          </w:p>
        </w:tc>
        <w:tc>
          <w:tcPr>
            <w:tcW w:w="960" w:type="pct"/>
            <w:tcBorders>
              <w:top w:val="single" w:sz="4" w:space="0" w:color="auto"/>
              <w:bottom w:val="nil"/>
            </w:tcBorders>
            <w:shd w:val="clear" w:color="auto" w:fill="auto"/>
            <w:vAlign w:val="center"/>
            <w:hideMark/>
          </w:tcPr>
          <w:p w14:paraId="5B9FF09D" w14:textId="77777777" w:rsidR="00405889" w:rsidRPr="00D41B71" w:rsidRDefault="00405889" w:rsidP="002F27FB">
            <w:pPr>
              <w:jc w:val="center"/>
              <w:rPr>
                <w:sz w:val="21"/>
                <w:szCs w:val="21"/>
              </w:rPr>
            </w:pPr>
            <w:r w:rsidRPr="00D41B71">
              <w:rPr>
                <w:sz w:val="21"/>
                <w:szCs w:val="21"/>
              </w:rPr>
              <w:t>1,770,123 (72.5)</w:t>
            </w:r>
          </w:p>
        </w:tc>
        <w:tc>
          <w:tcPr>
            <w:tcW w:w="946" w:type="pct"/>
            <w:tcBorders>
              <w:top w:val="single" w:sz="4" w:space="0" w:color="auto"/>
              <w:bottom w:val="nil"/>
            </w:tcBorders>
            <w:shd w:val="clear" w:color="auto" w:fill="auto"/>
            <w:vAlign w:val="center"/>
            <w:hideMark/>
          </w:tcPr>
          <w:p w14:paraId="21DE94EC" w14:textId="77777777" w:rsidR="00405889" w:rsidRPr="00D41B71" w:rsidRDefault="00405889" w:rsidP="002F27FB">
            <w:pPr>
              <w:jc w:val="center"/>
              <w:rPr>
                <w:sz w:val="21"/>
                <w:szCs w:val="21"/>
              </w:rPr>
            </w:pPr>
            <w:r w:rsidRPr="00D41B71">
              <w:rPr>
                <w:sz w:val="21"/>
                <w:szCs w:val="21"/>
              </w:rPr>
              <w:t>845,877 (73.0)</w:t>
            </w:r>
          </w:p>
        </w:tc>
        <w:tc>
          <w:tcPr>
            <w:tcW w:w="1043" w:type="pct"/>
            <w:tcBorders>
              <w:top w:val="single" w:sz="4" w:space="0" w:color="auto"/>
              <w:bottom w:val="nil"/>
            </w:tcBorders>
            <w:shd w:val="clear" w:color="auto" w:fill="auto"/>
            <w:vAlign w:val="center"/>
            <w:hideMark/>
          </w:tcPr>
          <w:p w14:paraId="7303EC0F" w14:textId="77777777" w:rsidR="00405889" w:rsidRPr="00D41B71" w:rsidRDefault="00405889" w:rsidP="002F27FB">
            <w:pPr>
              <w:jc w:val="center"/>
              <w:rPr>
                <w:sz w:val="21"/>
                <w:szCs w:val="21"/>
              </w:rPr>
            </w:pPr>
            <w:r w:rsidRPr="00D41B71">
              <w:rPr>
                <w:sz w:val="21"/>
                <w:szCs w:val="21"/>
              </w:rPr>
              <w:t>924,246 (72.1)</w:t>
            </w:r>
          </w:p>
        </w:tc>
      </w:tr>
      <w:tr w:rsidR="00405889" w:rsidRPr="00D41B71" w14:paraId="6D693B17" w14:textId="77777777" w:rsidTr="002F27FB">
        <w:trPr>
          <w:trHeight w:val="320"/>
        </w:trPr>
        <w:tc>
          <w:tcPr>
            <w:tcW w:w="2051" w:type="pct"/>
            <w:tcBorders>
              <w:top w:val="nil"/>
              <w:bottom w:val="single" w:sz="4" w:space="0" w:color="auto"/>
            </w:tcBorders>
            <w:shd w:val="clear" w:color="auto" w:fill="auto"/>
            <w:vAlign w:val="center"/>
            <w:hideMark/>
          </w:tcPr>
          <w:p w14:paraId="7B6DFAFF" w14:textId="77777777" w:rsidR="00405889" w:rsidRPr="00D41B71" w:rsidRDefault="00405889" w:rsidP="002F27FB">
            <w:pPr>
              <w:rPr>
                <w:sz w:val="21"/>
                <w:szCs w:val="21"/>
              </w:rPr>
            </w:pPr>
            <w:r w:rsidRPr="00D41B71">
              <w:rPr>
                <w:sz w:val="21"/>
                <w:szCs w:val="21"/>
              </w:rPr>
              <w:t>Tenant</w:t>
            </w:r>
          </w:p>
        </w:tc>
        <w:tc>
          <w:tcPr>
            <w:tcW w:w="960" w:type="pct"/>
            <w:tcBorders>
              <w:top w:val="nil"/>
              <w:bottom w:val="single" w:sz="4" w:space="0" w:color="auto"/>
            </w:tcBorders>
            <w:shd w:val="clear" w:color="auto" w:fill="auto"/>
            <w:vAlign w:val="center"/>
            <w:hideMark/>
          </w:tcPr>
          <w:p w14:paraId="45430372" w14:textId="77777777" w:rsidR="00405889" w:rsidRPr="00D41B71" w:rsidRDefault="00405889" w:rsidP="002F27FB">
            <w:pPr>
              <w:jc w:val="center"/>
              <w:rPr>
                <w:sz w:val="21"/>
                <w:szCs w:val="21"/>
              </w:rPr>
            </w:pPr>
            <w:r w:rsidRPr="00D41B71">
              <w:rPr>
                <w:sz w:val="21"/>
                <w:szCs w:val="21"/>
              </w:rPr>
              <w:t>671,443 (27.5)</w:t>
            </w:r>
          </w:p>
        </w:tc>
        <w:tc>
          <w:tcPr>
            <w:tcW w:w="946" w:type="pct"/>
            <w:tcBorders>
              <w:top w:val="nil"/>
              <w:bottom w:val="single" w:sz="4" w:space="0" w:color="auto"/>
            </w:tcBorders>
            <w:shd w:val="clear" w:color="auto" w:fill="auto"/>
            <w:vAlign w:val="center"/>
            <w:hideMark/>
          </w:tcPr>
          <w:p w14:paraId="36E7FB2A" w14:textId="77777777" w:rsidR="00405889" w:rsidRPr="00D41B71" w:rsidRDefault="00405889" w:rsidP="002F27FB">
            <w:pPr>
              <w:jc w:val="center"/>
              <w:rPr>
                <w:sz w:val="21"/>
                <w:szCs w:val="21"/>
              </w:rPr>
            </w:pPr>
            <w:r w:rsidRPr="00D41B71">
              <w:rPr>
                <w:sz w:val="21"/>
                <w:szCs w:val="21"/>
              </w:rPr>
              <w:t>313,170 (27.0)</w:t>
            </w:r>
          </w:p>
        </w:tc>
        <w:tc>
          <w:tcPr>
            <w:tcW w:w="1043" w:type="pct"/>
            <w:tcBorders>
              <w:top w:val="nil"/>
              <w:bottom w:val="single" w:sz="4" w:space="0" w:color="auto"/>
            </w:tcBorders>
            <w:shd w:val="clear" w:color="auto" w:fill="auto"/>
            <w:vAlign w:val="center"/>
            <w:hideMark/>
          </w:tcPr>
          <w:p w14:paraId="7C9B506C" w14:textId="77777777" w:rsidR="00405889" w:rsidRPr="00D41B71" w:rsidRDefault="00405889" w:rsidP="002F27FB">
            <w:pPr>
              <w:jc w:val="center"/>
              <w:rPr>
                <w:sz w:val="21"/>
                <w:szCs w:val="21"/>
              </w:rPr>
            </w:pPr>
            <w:r w:rsidRPr="00D41B71">
              <w:rPr>
                <w:sz w:val="21"/>
                <w:szCs w:val="21"/>
              </w:rPr>
              <w:t>358,273 (27.9)</w:t>
            </w:r>
          </w:p>
        </w:tc>
      </w:tr>
      <w:tr w:rsidR="00405889" w:rsidRPr="00D41B71" w14:paraId="118D3888" w14:textId="77777777" w:rsidTr="002F27FB">
        <w:trPr>
          <w:trHeight w:val="320"/>
        </w:trPr>
        <w:tc>
          <w:tcPr>
            <w:tcW w:w="2051" w:type="pct"/>
            <w:tcBorders>
              <w:top w:val="single" w:sz="4" w:space="0" w:color="auto"/>
              <w:bottom w:val="single" w:sz="4" w:space="0" w:color="auto"/>
            </w:tcBorders>
            <w:shd w:val="clear" w:color="auto" w:fill="auto"/>
            <w:vAlign w:val="center"/>
            <w:hideMark/>
          </w:tcPr>
          <w:p w14:paraId="790CC4EF" w14:textId="77777777" w:rsidR="00405889" w:rsidRPr="00D41B71" w:rsidRDefault="00405889" w:rsidP="002F27FB">
            <w:pPr>
              <w:rPr>
                <w:b/>
                <w:bCs/>
                <w:sz w:val="21"/>
                <w:szCs w:val="21"/>
              </w:rPr>
            </w:pPr>
            <w:r w:rsidRPr="00D41B71">
              <w:rPr>
                <w:b/>
                <w:bCs/>
                <w:sz w:val="21"/>
                <w:szCs w:val="21"/>
              </w:rPr>
              <w:t>Household living arrangement, n (%)</w:t>
            </w:r>
          </w:p>
        </w:tc>
        <w:tc>
          <w:tcPr>
            <w:tcW w:w="960" w:type="pct"/>
            <w:tcBorders>
              <w:top w:val="single" w:sz="4" w:space="0" w:color="auto"/>
              <w:bottom w:val="single" w:sz="4" w:space="0" w:color="auto"/>
            </w:tcBorders>
            <w:shd w:val="clear" w:color="auto" w:fill="auto"/>
            <w:vAlign w:val="center"/>
            <w:hideMark/>
          </w:tcPr>
          <w:p w14:paraId="79EBEE18" w14:textId="77777777" w:rsidR="00405889" w:rsidRPr="00D41B71" w:rsidRDefault="00405889" w:rsidP="002F27FB">
            <w:pPr>
              <w:jc w:val="center"/>
              <w:rPr>
                <w:b/>
                <w:bCs/>
                <w:sz w:val="21"/>
                <w:szCs w:val="21"/>
              </w:rPr>
            </w:pPr>
          </w:p>
        </w:tc>
        <w:tc>
          <w:tcPr>
            <w:tcW w:w="946" w:type="pct"/>
            <w:tcBorders>
              <w:top w:val="single" w:sz="4" w:space="0" w:color="auto"/>
              <w:bottom w:val="single" w:sz="4" w:space="0" w:color="auto"/>
            </w:tcBorders>
            <w:shd w:val="clear" w:color="auto" w:fill="auto"/>
            <w:vAlign w:val="center"/>
            <w:hideMark/>
          </w:tcPr>
          <w:p w14:paraId="6B1A16DC" w14:textId="77777777" w:rsidR="00405889" w:rsidRPr="00D41B71" w:rsidRDefault="00405889" w:rsidP="002F27FB">
            <w:pPr>
              <w:jc w:val="center"/>
              <w:rPr>
                <w:sz w:val="21"/>
                <w:szCs w:val="21"/>
              </w:rPr>
            </w:pPr>
          </w:p>
        </w:tc>
        <w:tc>
          <w:tcPr>
            <w:tcW w:w="1043" w:type="pct"/>
            <w:tcBorders>
              <w:top w:val="single" w:sz="4" w:space="0" w:color="auto"/>
              <w:bottom w:val="single" w:sz="4" w:space="0" w:color="auto"/>
            </w:tcBorders>
            <w:shd w:val="clear" w:color="auto" w:fill="auto"/>
            <w:vAlign w:val="center"/>
            <w:hideMark/>
          </w:tcPr>
          <w:p w14:paraId="62EBF7C5" w14:textId="77777777" w:rsidR="00405889" w:rsidRPr="00D41B71" w:rsidRDefault="00405889" w:rsidP="002F27FB">
            <w:pPr>
              <w:jc w:val="center"/>
              <w:rPr>
                <w:sz w:val="21"/>
                <w:szCs w:val="21"/>
              </w:rPr>
            </w:pPr>
          </w:p>
        </w:tc>
      </w:tr>
      <w:tr w:rsidR="00405889" w:rsidRPr="00D41B71" w14:paraId="35ED4191" w14:textId="77777777" w:rsidTr="002F27FB">
        <w:trPr>
          <w:trHeight w:val="320"/>
        </w:trPr>
        <w:tc>
          <w:tcPr>
            <w:tcW w:w="2051" w:type="pct"/>
            <w:tcBorders>
              <w:top w:val="single" w:sz="4" w:space="0" w:color="auto"/>
            </w:tcBorders>
            <w:shd w:val="clear" w:color="auto" w:fill="auto"/>
            <w:vAlign w:val="center"/>
            <w:hideMark/>
          </w:tcPr>
          <w:p w14:paraId="71BE6576" w14:textId="77777777" w:rsidR="00405889" w:rsidRPr="00D41B71" w:rsidRDefault="00405889" w:rsidP="002F27FB">
            <w:pPr>
              <w:rPr>
                <w:sz w:val="21"/>
                <w:szCs w:val="21"/>
              </w:rPr>
            </w:pPr>
            <w:r w:rsidRPr="00D41B71">
              <w:rPr>
                <w:sz w:val="21"/>
                <w:szCs w:val="21"/>
              </w:rPr>
              <w:t>Cohabiting</w:t>
            </w:r>
          </w:p>
        </w:tc>
        <w:tc>
          <w:tcPr>
            <w:tcW w:w="960" w:type="pct"/>
            <w:tcBorders>
              <w:top w:val="single" w:sz="4" w:space="0" w:color="auto"/>
            </w:tcBorders>
            <w:shd w:val="clear" w:color="auto" w:fill="auto"/>
            <w:vAlign w:val="center"/>
            <w:hideMark/>
          </w:tcPr>
          <w:p w14:paraId="30475894" w14:textId="77777777" w:rsidR="00405889" w:rsidRPr="00D41B71" w:rsidRDefault="00405889" w:rsidP="002F27FB">
            <w:pPr>
              <w:jc w:val="center"/>
              <w:rPr>
                <w:sz w:val="21"/>
                <w:szCs w:val="21"/>
              </w:rPr>
            </w:pPr>
            <w:r w:rsidRPr="00D41B71">
              <w:rPr>
                <w:sz w:val="21"/>
                <w:szCs w:val="21"/>
              </w:rPr>
              <w:t>1,664,358 (68.2)</w:t>
            </w:r>
          </w:p>
        </w:tc>
        <w:tc>
          <w:tcPr>
            <w:tcW w:w="946" w:type="pct"/>
            <w:tcBorders>
              <w:top w:val="single" w:sz="4" w:space="0" w:color="auto"/>
            </w:tcBorders>
            <w:shd w:val="clear" w:color="auto" w:fill="auto"/>
            <w:vAlign w:val="center"/>
            <w:hideMark/>
          </w:tcPr>
          <w:p w14:paraId="3C1DF138" w14:textId="77777777" w:rsidR="00405889" w:rsidRPr="00D41B71" w:rsidRDefault="00405889" w:rsidP="002F27FB">
            <w:pPr>
              <w:jc w:val="center"/>
              <w:rPr>
                <w:sz w:val="21"/>
                <w:szCs w:val="21"/>
              </w:rPr>
            </w:pPr>
            <w:r w:rsidRPr="00D41B71">
              <w:rPr>
                <w:sz w:val="21"/>
                <w:szCs w:val="21"/>
              </w:rPr>
              <w:t>851,834 (73.5)</w:t>
            </w:r>
          </w:p>
        </w:tc>
        <w:tc>
          <w:tcPr>
            <w:tcW w:w="1043" w:type="pct"/>
            <w:tcBorders>
              <w:top w:val="single" w:sz="4" w:space="0" w:color="auto"/>
            </w:tcBorders>
            <w:shd w:val="clear" w:color="auto" w:fill="auto"/>
            <w:vAlign w:val="center"/>
            <w:hideMark/>
          </w:tcPr>
          <w:p w14:paraId="63BBC7CF" w14:textId="77777777" w:rsidR="00405889" w:rsidRPr="00D41B71" w:rsidRDefault="00405889" w:rsidP="002F27FB">
            <w:pPr>
              <w:jc w:val="center"/>
              <w:rPr>
                <w:sz w:val="21"/>
                <w:szCs w:val="21"/>
              </w:rPr>
            </w:pPr>
            <w:r w:rsidRPr="00D41B71">
              <w:rPr>
                <w:sz w:val="21"/>
                <w:szCs w:val="21"/>
              </w:rPr>
              <w:t>812,524 (63.4)</w:t>
            </w:r>
          </w:p>
        </w:tc>
      </w:tr>
      <w:tr w:rsidR="00405889" w:rsidRPr="00D41B71" w14:paraId="5F0548E2" w14:textId="77777777" w:rsidTr="002F27FB">
        <w:trPr>
          <w:trHeight w:val="320"/>
        </w:trPr>
        <w:tc>
          <w:tcPr>
            <w:tcW w:w="2051" w:type="pct"/>
            <w:tcBorders>
              <w:bottom w:val="nil"/>
            </w:tcBorders>
            <w:shd w:val="clear" w:color="auto" w:fill="auto"/>
            <w:vAlign w:val="center"/>
            <w:hideMark/>
          </w:tcPr>
          <w:p w14:paraId="69F92AB2" w14:textId="77777777" w:rsidR="00405889" w:rsidRPr="00D41B71" w:rsidRDefault="00405889" w:rsidP="002F27FB">
            <w:pPr>
              <w:rPr>
                <w:sz w:val="21"/>
                <w:szCs w:val="21"/>
              </w:rPr>
            </w:pPr>
            <w:r w:rsidRPr="00D41B71">
              <w:rPr>
                <w:sz w:val="21"/>
                <w:szCs w:val="21"/>
              </w:rPr>
              <w:t>Single</w:t>
            </w:r>
          </w:p>
        </w:tc>
        <w:tc>
          <w:tcPr>
            <w:tcW w:w="960" w:type="pct"/>
            <w:tcBorders>
              <w:bottom w:val="nil"/>
            </w:tcBorders>
            <w:shd w:val="clear" w:color="auto" w:fill="auto"/>
            <w:vAlign w:val="center"/>
            <w:hideMark/>
          </w:tcPr>
          <w:p w14:paraId="16E7D265" w14:textId="77777777" w:rsidR="00405889" w:rsidRPr="00D41B71" w:rsidRDefault="00405889" w:rsidP="002F27FB">
            <w:pPr>
              <w:jc w:val="center"/>
              <w:rPr>
                <w:sz w:val="21"/>
                <w:szCs w:val="21"/>
              </w:rPr>
            </w:pPr>
            <w:r w:rsidRPr="00D41B71">
              <w:rPr>
                <w:sz w:val="21"/>
                <w:szCs w:val="21"/>
              </w:rPr>
              <w:t>635,477 (26.0)</w:t>
            </w:r>
          </w:p>
        </w:tc>
        <w:tc>
          <w:tcPr>
            <w:tcW w:w="946" w:type="pct"/>
            <w:tcBorders>
              <w:bottom w:val="nil"/>
            </w:tcBorders>
            <w:shd w:val="clear" w:color="auto" w:fill="auto"/>
            <w:vAlign w:val="center"/>
            <w:hideMark/>
          </w:tcPr>
          <w:p w14:paraId="567F3D77" w14:textId="77777777" w:rsidR="00405889" w:rsidRPr="00D41B71" w:rsidRDefault="00405889" w:rsidP="002F27FB">
            <w:pPr>
              <w:jc w:val="center"/>
              <w:rPr>
                <w:sz w:val="21"/>
                <w:szCs w:val="21"/>
              </w:rPr>
            </w:pPr>
            <w:r w:rsidRPr="00D41B71">
              <w:rPr>
                <w:sz w:val="21"/>
                <w:szCs w:val="21"/>
              </w:rPr>
              <w:t>230,718 (19.9)</w:t>
            </w:r>
          </w:p>
        </w:tc>
        <w:tc>
          <w:tcPr>
            <w:tcW w:w="1043" w:type="pct"/>
            <w:tcBorders>
              <w:bottom w:val="nil"/>
            </w:tcBorders>
            <w:shd w:val="clear" w:color="auto" w:fill="auto"/>
            <w:vAlign w:val="center"/>
            <w:hideMark/>
          </w:tcPr>
          <w:p w14:paraId="6A65D0B9" w14:textId="77777777" w:rsidR="00405889" w:rsidRPr="00D41B71" w:rsidRDefault="00405889" w:rsidP="002F27FB">
            <w:pPr>
              <w:jc w:val="center"/>
              <w:rPr>
                <w:sz w:val="21"/>
                <w:szCs w:val="21"/>
              </w:rPr>
            </w:pPr>
            <w:r w:rsidRPr="00D41B71">
              <w:rPr>
                <w:sz w:val="21"/>
                <w:szCs w:val="21"/>
              </w:rPr>
              <w:t>404,759 (31.6)</w:t>
            </w:r>
          </w:p>
        </w:tc>
      </w:tr>
      <w:tr w:rsidR="00405889" w:rsidRPr="00D41B71" w14:paraId="4ABC32DE" w14:textId="77777777" w:rsidTr="002F27FB">
        <w:trPr>
          <w:trHeight w:val="320"/>
        </w:trPr>
        <w:tc>
          <w:tcPr>
            <w:tcW w:w="2051" w:type="pct"/>
            <w:tcBorders>
              <w:top w:val="nil"/>
              <w:bottom w:val="single" w:sz="4" w:space="0" w:color="auto"/>
            </w:tcBorders>
            <w:shd w:val="clear" w:color="auto" w:fill="auto"/>
            <w:vAlign w:val="center"/>
            <w:hideMark/>
          </w:tcPr>
          <w:p w14:paraId="68C9F3B8" w14:textId="77777777" w:rsidR="00405889" w:rsidRPr="00D41B71" w:rsidRDefault="00405889" w:rsidP="002F27FB">
            <w:pPr>
              <w:rPr>
                <w:sz w:val="21"/>
                <w:szCs w:val="21"/>
              </w:rPr>
            </w:pPr>
            <w:r w:rsidRPr="00D41B71">
              <w:rPr>
                <w:sz w:val="21"/>
                <w:szCs w:val="21"/>
              </w:rPr>
              <w:t>Other</w:t>
            </w:r>
          </w:p>
        </w:tc>
        <w:tc>
          <w:tcPr>
            <w:tcW w:w="960" w:type="pct"/>
            <w:tcBorders>
              <w:top w:val="nil"/>
              <w:bottom w:val="single" w:sz="4" w:space="0" w:color="auto"/>
            </w:tcBorders>
            <w:shd w:val="clear" w:color="auto" w:fill="auto"/>
            <w:vAlign w:val="center"/>
            <w:hideMark/>
          </w:tcPr>
          <w:p w14:paraId="2697D015" w14:textId="77777777" w:rsidR="00405889" w:rsidRPr="00D41B71" w:rsidRDefault="00405889" w:rsidP="002F27FB">
            <w:pPr>
              <w:jc w:val="center"/>
              <w:rPr>
                <w:sz w:val="21"/>
                <w:szCs w:val="21"/>
              </w:rPr>
            </w:pPr>
            <w:r w:rsidRPr="00D41B71">
              <w:rPr>
                <w:sz w:val="21"/>
                <w:szCs w:val="21"/>
              </w:rPr>
              <w:t>141,731 (5.9)</w:t>
            </w:r>
          </w:p>
        </w:tc>
        <w:tc>
          <w:tcPr>
            <w:tcW w:w="946" w:type="pct"/>
            <w:tcBorders>
              <w:top w:val="nil"/>
              <w:bottom w:val="single" w:sz="4" w:space="0" w:color="auto"/>
            </w:tcBorders>
            <w:shd w:val="clear" w:color="auto" w:fill="auto"/>
            <w:vAlign w:val="center"/>
            <w:hideMark/>
          </w:tcPr>
          <w:p w14:paraId="2916813C" w14:textId="77777777" w:rsidR="00405889" w:rsidRPr="00D41B71" w:rsidRDefault="00405889" w:rsidP="002F27FB">
            <w:pPr>
              <w:jc w:val="center"/>
              <w:rPr>
                <w:sz w:val="21"/>
                <w:szCs w:val="21"/>
              </w:rPr>
            </w:pPr>
            <w:r w:rsidRPr="00D41B71">
              <w:rPr>
                <w:sz w:val="21"/>
                <w:szCs w:val="21"/>
              </w:rPr>
              <w:t>76,495 (6.6)</w:t>
            </w:r>
          </w:p>
        </w:tc>
        <w:tc>
          <w:tcPr>
            <w:tcW w:w="1043" w:type="pct"/>
            <w:tcBorders>
              <w:top w:val="nil"/>
              <w:bottom w:val="single" w:sz="4" w:space="0" w:color="auto"/>
            </w:tcBorders>
            <w:shd w:val="clear" w:color="auto" w:fill="auto"/>
            <w:vAlign w:val="center"/>
            <w:hideMark/>
          </w:tcPr>
          <w:p w14:paraId="5F6898D6" w14:textId="77777777" w:rsidR="00405889" w:rsidRPr="00D41B71" w:rsidRDefault="00405889" w:rsidP="002F27FB">
            <w:pPr>
              <w:jc w:val="center"/>
              <w:rPr>
                <w:sz w:val="21"/>
                <w:szCs w:val="21"/>
              </w:rPr>
            </w:pPr>
            <w:r w:rsidRPr="00D41B71">
              <w:rPr>
                <w:sz w:val="21"/>
                <w:szCs w:val="21"/>
              </w:rPr>
              <w:t>65,236 (5.1)</w:t>
            </w:r>
          </w:p>
        </w:tc>
      </w:tr>
      <w:tr w:rsidR="00405889" w:rsidRPr="00D41B71" w14:paraId="6D6DA2DC" w14:textId="77777777" w:rsidTr="002F27FB">
        <w:trPr>
          <w:trHeight w:val="320"/>
        </w:trPr>
        <w:tc>
          <w:tcPr>
            <w:tcW w:w="2051" w:type="pct"/>
            <w:tcBorders>
              <w:top w:val="single" w:sz="4" w:space="0" w:color="auto"/>
              <w:bottom w:val="single" w:sz="4" w:space="0" w:color="auto"/>
            </w:tcBorders>
            <w:shd w:val="clear" w:color="auto" w:fill="auto"/>
            <w:vAlign w:val="center"/>
            <w:hideMark/>
          </w:tcPr>
          <w:p w14:paraId="30F8426B" w14:textId="77777777" w:rsidR="00405889" w:rsidRPr="00D41B71" w:rsidRDefault="00405889" w:rsidP="002F27FB">
            <w:pPr>
              <w:rPr>
                <w:b/>
                <w:bCs/>
                <w:sz w:val="21"/>
                <w:szCs w:val="21"/>
              </w:rPr>
            </w:pPr>
            <w:r w:rsidRPr="00D41B71">
              <w:rPr>
                <w:b/>
                <w:bCs/>
                <w:sz w:val="21"/>
                <w:szCs w:val="21"/>
              </w:rPr>
              <w:t>Residential green spaces, median (IQR)</w:t>
            </w:r>
          </w:p>
        </w:tc>
        <w:tc>
          <w:tcPr>
            <w:tcW w:w="960" w:type="pct"/>
            <w:tcBorders>
              <w:top w:val="single" w:sz="4" w:space="0" w:color="auto"/>
              <w:bottom w:val="single" w:sz="4" w:space="0" w:color="auto"/>
            </w:tcBorders>
            <w:shd w:val="clear" w:color="auto" w:fill="auto"/>
            <w:vAlign w:val="center"/>
            <w:hideMark/>
          </w:tcPr>
          <w:p w14:paraId="3F18DF8F" w14:textId="77777777" w:rsidR="00405889" w:rsidRPr="00D41B71" w:rsidRDefault="00405889" w:rsidP="002F27FB">
            <w:pPr>
              <w:jc w:val="center"/>
              <w:rPr>
                <w:b/>
                <w:bCs/>
                <w:sz w:val="21"/>
                <w:szCs w:val="21"/>
              </w:rPr>
            </w:pPr>
          </w:p>
        </w:tc>
        <w:tc>
          <w:tcPr>
            <w:tcW w:w="946" w:type="pct"/>
            <w:tcBorders>
              <w:top w:val="single" w:sz="4" w:space="0" w:color="auto"/>
              <w:bottom w:val="single" w:sz="4" w:space="0" w:color="auto"/>
            </w:tcBorders>
            <w:shd w:val="clear" w:color="auto" w:fill="auto"/>
            <w:vAlign w:val="center"/>
            <w:hideMark/>
          </w:tcPr>
          <w:p w14:paraId="38453EE0" w14:textId="77777777" w:rsidR="00405889" w:rsidRPr="00D41B71" w:rsidRDefault="00405889" w:rsidP="002F27FB">
            <w:pPr>
              <w:jc w:val="center"/>
              <w:rPr>
                <w:sz w:val="21"/>
                <w:szCs w:val="21"/>
              </w:rPr>
            </w:pPr>
          </w:p>
        </w:tc>
        <w:tc>
          <w:tcPr>
            <w:tcW w:w="1043" w:type="pct"/>
            <w:tcBorders>
              <w:top w:val="single" w:sz="4" w:space="0" w:color="auto"/>
              <w:bottom w:val="single" w:sz="4" w:space="0" w:color="auto"/>
            </w:tcBorders>
            <w:shd w:val="clear" w:color="auto" w:fill="auto"/>
            <w:vAlign w:val="center"/>
            <w:hideMark/>
          </w:tcPr>
          <w:p w14:paraId="5389ED9E" w14:textId="77777777" w:rsidR="00405889" w:rsidRPr="00D41B71" w:rsidRDefault="00405889" w:rsidP="002F27FB">
            <w:pPr>
              <w:jc w:val="center"/>
              <w:rPr>
                <w:sz w:val="21"/>
                <w:szCs w:val="21"/>
              </w:rPr>
            </w:pPr>
          </w:p>
        </w:tc>
      </w:tr>
      <w:tr w:rsidR="00405889" w:rsidRPr="00D41B71" w14:paraId="7D43A666" w14:textId="77777777" w:rsidTr="002F27FB">
        <w:trPr>
          <w:trHeight w:val="320"/>
        </w:trPr>
        <w:tc>
          <w:tcPr>
            <w:tcW w:w="2051" w:type="pct"/>
            <w:tcBorders>
              <w:top w:val="single" w:sz="4" w:space="0" w:color="auto"/>
            </w:tcBorders>
            <w:shd w:val="clear" w:color="auto" w:fill="auto"/>
            <w:vAlign w:val="center"/>
            <w:hideMark/>
          </w:tcPr>
          <w:p w14:paraId="220DB14F" w14:textId="77777777" w:rsidR="00405889" w:rsidRPr="00D41B71" w:rsidRDefault="00405889" w:rsidP="002F27FB">
            <w:pPr>
              <w:rPr>
                <w:sz w:val="21"/>
                <w:szCs w:val="21"/>
              </w:rPr>
            </w:pPr>
            <w:r w:rsidRPr="00D41B71">
              <w:rPr>
                <w:sz w:val="21"/>
                <w:szCs w:val="21"/>
              </w:rPr>
              <w:t>Surrounding greenness (</w:t>
            </w:r>
            <w:r>
              <w:rPr>
                <w:sz w:val="21"/>
                <w:szCs w:val="21"/>
                <w:lang w:val="en-US"/>
              </w:rPr>
              <w:t>3</w:t>
            </w:r>
            <w:r w:rsidRPr="00D41B71">
              <w:rPr>
                <w:sz w:val="21"/>
                <w:szCs w:val="21"/>
              </w:rPr>
              <w:t>00</w:t>
            </w:r>
            <w:r>
              <w:rPr>
                <w:sz w:val="21"/>
                <w:szCs w:val="21"/>
                <w:lang w:val="en-US"/>
              </w:rPr>
              <w:t xml:space="preserve"> </w:t>
            </w:r>
            <w:r w:rsidRPr="00D41B71">
              <w:rPr>
                <w:sz w:val="21"/>
                <w:szCs w:val="21"/>
              </w:rPr>
              <w:t>m)</w:t>
            </w:r>
          </w:p>
        </w:tc>
        <w:tc>
          <w:tcPr>
            <w:tcW w:w="960" w:type="pct"/>
            <w:tcBorders>
              <w:top w:val="single" w:sz="4" w:space="0" w:color="auto"/>
            </w:tcBorders>
            <w:shd w:val="clear" w:color="auto" w:fill="auto"/>
            <w:vAlign w:val="center"/>
            <w:hideMark/>
          </w:tcPr>
          <w:p w14:paraId="0257E005" w14:textId="77777777" w:rsidR="00405889" w:rsidRPr="00D41B71" w:rsidRDefault="00405889" w:rsidP="002F27FB">
            <w:pPr>
              <w:jc w:val="center"/>
              <w:rPr>
                <w:sz w:val="21"/>
                <w:szCs w:val="21"/>
              </w:rPr>
            </w:pPr>
            <w:r w:rsidRPr="00D41B71">
              <w:rPr>
                <w:sz w:val="21"/>
                <w:szCs w:val="21"/>
              </w:rPr>
              <w:t>0.</w:t>
            </w:r>
            <w:r>
              <w:rPr>
                <w:sz w:val="21"/>
                <w:szCs w:val="21"/>
                <w:lang w:val="en-US"/>
              </w:rPr>
              <w:t>59</w:t>
            </w:r>
            <w:r w:rsidRPr="00D41B71">
              <w:rPr>
                <w:sz w:val="21"/>
                <w:szCs w:val="21"/>
              </w:rPr>
              <w:t xml:space="preserve"> (0.23)</w:t>
            </w:r>
          </w:p>
        </w:tc>
        <w:tc>
          <w:tcPr>
            <w:tcW w:w="946" w:type="pct"/>
            <w:tcBorders>
              <w:top w:val="single" w:sz="4" w:space="0" w:color="auto"/>
            </w:tcBorders>
            <w:shd w:val="clear" w:color="auto" w:fill="auto"/>
            <w:vAlign w:val="center"/>
            <w:hideMark/>
          </w:tcPr>
          <w:p w14:paraId="0039DBC3" w14:textId="77777777" w:rsidR="00405889" w:rsidRPr="00D41B71" w:rsidRDefault="00405889" w:rsidP="002F27FB">
            <w:pPr>
              <w:jc w:val="center"/>
              <w:rPr>
                <w:sz w:val="21"/>
                <w:szCs w:val="21"/>
              </w:rPr>
            </w:pPr>
            <w:r w:rsidRPr="00D41B71">
              <w:rPr>
                <w:sz w:val="21"/>
                <w:szCs w:val="21"/>
              </w:rPr>
              <w:t>0.</w:t>
            </w:r>
            <w:r>
              <w:rPr>
                <w:sz w:val="21"/>
                <w:szCs w:val="21"/>
                <w:lang w:val="en-US"/>
              </w:rPr>
              <w:t>59</w:t>
            </w:r>
            <w:r w:rsidRPr="00D41B71">
              <w:rPr>
                <w:sz w:val="21"/>
                <w:szCs w:val="21"/>
              </w:rPr>
              <w:t xml:space="preserve"> (0.24)</w:t>
            </w:r>
          </w:p>
        </w:tc>
        <w:tc>
          <w:tcPr>
            <w:tcW w:w="1043" w:type="pct"/>
            <w:tcBorders>
              <w:top w:val="single" w:sz="4" w:space="0" w:color="auto"/>
            </w:tcBorders>
            <w:shd w:val="clear" w:color="auto" w:fill="auto"/>
            <w:vAlign w:val="center"/>
            <w:hideMark/>
          </w:tcPr>
          <w:p w14:paraId="46B0874E" w14:textId="77777777" w:rsidR="00405889" w:rsidRPr="00D41B71" w:rsidRDefault="00405889" w:rsidP="002F27FB">
            <w:pPr>
              <w:jc w:val="center"/>
              <w:rPr>
                <w:sz w:val="21"/>
                <w:szCs w:val="21"/>
              </w:rPr>
            </w:pPr>
            <w:r w:rsidRPr="00D41B71">
              <w:rPr>
                <w:sz w:val="21"/>
                <w:szCs w:val="21"/>
              </w:rPr>
              <w:t>0.</w:t>
            </w:r>
            <w:r>
              <w:rPr>
                <w:sz w:val="21"/>
                <w:szCs w:val="21"/>
                <w:lang w:val="en-US"/>
              </w:rPr>
              <w:t>59</w:t>
            </w:r>
            <w:r w:rsidRPr="00D41B71">
              <w:rPr>
                <w:sz w:val="21"/>
                <w:szCs w:val="21"/>
              </w:rPr>
              <w:t xml:space="preserve"> (0.2</w:t>
            </w:r>
            <w:r>
              <w:rPr>
                <w:sz w:val="21"/>
                <w:szCs w:val="21"/>
                <w:lang w:val="en-US"/>
              </w:rPr>
              <w:t>3</w:t>
            </w:r>
            <w:r w:rsidRPr="00D41B71">
              <w:rPr>
                <w:sz w:val="21"/>
                <w:szCs w:val="21"/>
              </w:rPr>
              <w:t>)</w:t>
            </w:r>
          </w:p>
        </w:tc>
      </w:tr>
      <w:tr w:rsidR="00405889" w:rsidRPr="00D41B71" w14:paraId="77373C59" w14:textId="77777777" w:rsidTr="002F27FB">
        <w:trPr>
          <w:trHeight w:val="320"/>
        </w:trPr>
        <w:tc>
          <w:tcPr>
            <w:tcW w:w="2051" w:type="pct"/>
            <w:tcBorders>
              <w:bottom w:val="nil"/>
            </w:tcBorders>
            <w:shd w:val="clear" w:color="auto" w:fill="auto"/>
            <w:vAlign w:val="center"/>
            <w:hideMark/>
          </w:tcPr>
          <w:p w14:paraId="27539CA7" w14:textId="77777777" w:rsidR="00405889" w:rsidRPr="00D41B71" w:rsidRDefault="00405889" w:rsidP="002F27FB">
            <w:pPr>
              <w:rPr>
                <w:sz w:val="21"/>
                <w:szCs w:val="21"/>
              </w:rPr>
            </w:pPr>
            <w:r w:rsidRPr="00D41B71">
              <w:rPr>
                <w:sz w:val="21"/>
                <w:szCs w:val="21"/>
              </w:rPr>
              <w:t>Surrounding green areas (</w:t>
            </w:r>
            <w:r>
              <w:rPr>
                <w:sz w:val="21"/>
                <w:szCs w:val="21"/>
                <w:lang w:val="en-US"/>
              </w:rPr>
              <w:t>3</w:t>
            </w:r>
            <w:r w:rsidRPr="00D41B71">
              <w:rPr>
                <w:sz w:val="21"/>
                <w:szCs w:val="21"/>
              </w:rPr>
              <w:t>00</w:t>
            </w:r>
            <w:r>
              <w:rPr>
                <w:sz w:val="21"/>
                <w:szCs w:val="21"/>
                <w:lang w:val="en-US"/>
              </w:rPr>
              <w:t xml:space="preserve"> </w:t>
            </w:r>
            <w:r w:rsidRPr="00D41B71">
              <w:rPr>
                <w:sz w:val="21"/>
                <w:szCs w:val="21"/>
              </w:rPr>
              <w:t>m)</w:t>
            </w:r>
          </w:p>
        </w:tc>
        <w:tc>
          <w:tcPr>
            <w:tcW w:w="960" w:type="pct"/>
            <w:tcBorders>
              <w:bottom w:val="nil"/>
            </w:tcBorders>
            <w:shd w:val="clear" w:color="auto" w:fill="auto"/>
            <w:vAlign w:val="center"/>
            <w:hideMark/>
          </w:tcPr>
          <w:p w14:paraId="4DAD8769" w14:textId="77777777" w:rsidR="00405889" w:rsidRPr="00D41B71" w:rsidRDefault="00405889" w:rsidP="002F27FB">
            <w:pPr>
              <w:jc w:val="center"/>
              <w:rPr>
                <w:sz w:val="21"/>
                <w:szCs w:val="21"/>
              </w:rPr>
            </w:pPr>
            <w:r w:rsidRPr="00D41B71">
              <w:rPr>
                <w:sz w:val="21"/>
                <w:szCs w:val="21"/>
              </w:rPr>
              <w:t>0.</w:t>
            </w:r>
            <w:r>
              <w:rPr>
                <w:sz w:val="21"/>
                <w:szCs w:val="21"/>
                <w:lang w:val="en-US"/>
              </w:rPr>
              <w:t>15</w:t>
            </w:r>
            <w:r w:rsidRPr="00D41B71">
              <w:rPr>
                <w:sz w:val="21"/>
                <w:szCs w:val="21"/>
              </w:rPr>
              <w:t xml:space="preserve"> (0.3</w:t>
            </w:r>
            <w:r>
              <w:rPr>
                <w:sz w:val="21"/>
                <w:szCs w:val="21"/>
                <w:lang w:val="en-US"/>
              </w:rPr>
              <w:t>2</w:t>
            </w:r>
            <w:r w:rsidRPr="00D41B71">
              <w:rPr>
                <w:sz w:val="21"/>
                <w:szCs w:val="21"/>
              </w:rPr>
              <w:t>)</w:t>
            </w:r>
          </w:p>
        </w:tc>
        <w:tc>
          <w:tcPr>
            <w:tcW w:w="946" w:type="pct"/>
            <w:tcBorders>
              <w:bottom w:val="nil"/>
            </w:tcBorders>
            <w:shd w:val="clear" w:color="auto" w:fill="auto"/>
            <w:vAlign w:val="center"/>
            <w:hideMark/>
          </w:tcPr>
          <w:p w14:paraId="1530B1B2" w14:textId="77777777" w:rsidR="00405889" w:rsidRPr="00D41B71" w:rsidRDefault="00405889" w:rsidP="002F27FB">
            <w:pPr>
              <w:jc w:val="center"/>
              <w:rPr>
                <w:sz w:val="21"/>
                <w:szCs w:val="21"/>
              </w:rPr>
            </w:pPr>
            <w:r w:rsidRPr="00D41B71">
              <w:rPr>
                <w:sz w:val="21"/>
                <w:szCs w:val="21"/>
              </w:rPr>
              <w:t>0.</w:t>
            </w:r>
            <w:r>
              <w:rPr>
                <w:sz w:val="21"/>
                <w:szCs w:val="21"/>
                <w:lang w:val="en-US"/>
              </w:rPr>
              <w:t>15</w:t>
            </w:r>
            <w:r w:rsidRPr="00D41B71">
              <w:rPr>
                <w:sz w:val="21"/>
                <w:szCs w:val="21"/>
              </w:rPr>
              <w:t xml:space="preserve"> (0.</w:t>
            </w:r>
            <w:r>
              <w:rPr>
                <w:sz w:val="21"/>
                <w:szCs w:val="21"/>
                <w:lang w:val="en-US"/>
              </w:rPr>
              <w:t>3</w:t>
            </w:r>
            <w:r w:rsidRPr="00D41B71">
              <w:rPr>
                <w:sz w:val="21"/>
                <w:szCs w:val="21"/>
              </w:rPr>
              <w:t>3)</w:t>
            </w:r>
          </w:p>
        </w:tc>
        <w:tc>
          <w:tcPr>
            <w:tcW w:w="1043" w:type="pct"/>
            <w:tcBorders>
              <w:bottom w:val="nil"/>
            </w:tcBorders>
            <w:shd w:val="clear" w:color="auto" w:fill="auto"/>
            <w:vAlign w:val="center"/>
            <w:hideMark/>
          </w:tcPr>
          <w:p w14:paraId="081DB862" w14:textId="77777777" w:rsidR="00405889" w:rsidRPr="00D41B71" w:rsidRDefault="00405889" w:rsidP="002F27FB">
            <w:pPr>
              <w:jc w:val="center"/>
              <w:rPr>
                <w:sz w:val="21"/>
                <w:szCs w:val="21"/>
              </w:rPr>
            </w:pPr>
            <w:r w:rsidRPr="00D41B71">
              <w:rPr>
                <w:sz w:val="21"/>
                <w:szCs w:val="21"/>
              </w:rPr>
              <w:t>0.</w:t>
            </w:r>
            <w:r>
              <w:rPr>
                <w:sz w:val="21"/>
                <w:szCs w:val="21"/>
                <w:lang w:val="en-US"/>
              </w:rPr>
              <w:t>15</w:t>
            </w:r>
            <w:r w:rsidRPr="00D41B71">
              <w:rPr>
                <w:sz w:val="21"/>
                <w:szCs w:val="21"/>
              </w:rPr>
              <w:t xml:space="preserve"> (0.3</w:t>
            </w:r>
            <w:r>
              <w:rPr>
                <w:sz w:val="21"/>
                <w:szCs w:val="21"/>
                <w:lang w:val="en-US"/>
              </w:rPr>
              <w:t>2</w:t>
            </w:r>
            <w:r w:rsidRPr="00D41B71">
              <w:rPr>
                <w:sz w:val="21"/>
                <w:szCs w:val="21"/>
              </w:rPr>
              <w:t>)</w:t>
            </w:r>
          </w:p>
        </w:tc>
      </w:tr>
      <w:tr w:rsidR="00405889" w:rsidRPr="00D41B71" w14:paraId="588F23A2" w14:textId="77777777" w:rsidTr="002F27FB">
        <w:trPr>
          <w:trHeight w:val="320"/>
        </w:trPr>
        <w:tc>
          <w:tcPr>
            <w:tcW w:w="2051" w:type="pct"/>
            <w:tcBorders>
              <w:top w:val="nil"/>
              <w:bottom w:val="single" w:sz="4" w:space="0" w:color="auto"/>
            </w:tcBorders>
            <w:shd w:val="clear" w:color="auto" w:fill="auto"/>
            <w:vAlign w:val="center"/>
            <w:hideMark/>
          </w:tcPr>
          <w:p w14:paraId="1D131DBE" w14:textId="77777777" w:rsidR="00405889" w:rsidRPr="00D41B71" w:rsidRDefault="00405889" w:rsidP="002F27FB">
            <w:pPr>
              <w:rPr>
                <w:sz w:val="21"/>
                <w:szCs w:val="21"/>
              </w:rPr>
            </w:pPr>
            <w:r w:rsidRPr="00D41B71">
              <w:rPr>
                <w:sz w:val="21"/>
                <w:szCs w:val="21"/>
              </w:rPr>
              <w:t>Perceived neighborhood greenness (%)</w:t>
            </w:r>
          </w:p>
        </w:tc>
        <w:tc>
          <w:tcPr>
            <w:tcW w:w="960" w:type="pct"/>
            <w:tcBorders>
              <w:top w:val="nil"/>
              <w:bottom w:val="single" w:sz="4" w:space="0" w:color="auto"/>
            </w:tcBorders>
            <w:shd w:val="clear" w:color="auto" w:fill="auto"/>
            <w:vAlign w:val="center"/>
            <w:hideMark/>
          </w:tcPr>
          <w:p w14:paraId="0168BBCC" w14:textId="77777777" w:rsidR="00405889" w:rsidRPr="00D41B71" w:rsidRDefault="00405889" w:rsidP="002F27FB">
            <w:pPr>
              <w:jc w:val="center"/>
              <w:rPr>
                <w:sz w:val="21"/>
                <w:szCs w:val="21"/>
              </w:rPr>
            </w:pPr>
            <w:r w:rsidRPr="00D41B71">
              <w:rPr>
                <w:sz w:val="21"/>
                <w:szCs w:val="21"/>
              </w:rPr>
              <w:t>23.3 (22.8)</w:t>
            </w:r>
          </w:p>
        </w:tc>
        <w:tc>
          <w:tcPr>
            <w:tcW w:w="946" w:type="pct"/>
            <w:tcBorders>
              <w:top w:val="nil"/>
              <w:bottom w:val="single" w:sz="4" w:space="0" w:color="auto"/>
            </w:tcBorders>
            <w:shd w:val="clear" w:color="auto" w:fill="auto"/>
            <w:vAlign w:val="center"/>
            <w:hideMark/>
          </w:tcPr>
          <w:p w14:paraId="29F9364F" w14:textId="77777777" w:rsidR="00405889" w:rsidRPr="00D41B71" w:rsidRDefault="00405889" w:rsidP="002F27FB">
            <w:pPr>
              <w:jc w:val="center"/>
              <w:rPr>
                <w:sz w:val="21"/>
                <w:szCs w:val="21"/>
              </w:rPr>
            </w:pPr>
            <w:r w:rsidRPr="00D41B71">
              <w:rPr>
                <w:sz w:val="21"/>
                <w:szCs w:val="21"/>
              </w:rPr>
              <w:t>23.1 (35.8)</w:t>
            </w:r>
          </w:p>
        </w:tc>
        <w:tc>
          <w:tcPr>
            <w:tcW w:w="1043" w:type="pct"/>
            <w:tcBorders>
              <w:top w:val="nil"/>
              <w:bottom w:val="single" w:sz="4" w:space="0" w:color="auto"/>
            </w:tcBorders>
            <w:shd w:val="clear" w:color="auto" w:fill="auto"/>
            <w:vAlign w:val="center"/>
            <w:hideMark/>
          </w:tcPr>
          <w:p w14:paraId="58A54D31" w14:textId="77777777" w:rsidR="00405889" w:rsidRPr="00D41B71" w:rsidRDefault="00405889" w:rsidP="002F27FB">
            <w:pPr>
              <w:jc w:val="center"/>
              <w:rPr>
                <w:sz w:val="21"/>
                <w:szCs w:val="21"/>
              </w:rPr>
            </w:pPr>
            <w:r w:rsidRPr="00D41B71">
              <w:rPr>
                <w:sz w:val="21"/>
                <w:szCs w:val="21"/>
              </w:rPr>
              <w:t>23.4 (23.0)</w:t>
            </w:r>
          </w:p>
        </w:tc>
      </w:tr>
      <w:tr w:rsidR="00405889" w:rsidRPr="00D41B71" w14:paraId="28050366" w14:textId="77777777" w:rsidTr="002F27FB">
        <w:trPr>
          <w:trHeight w:val="478"/>
        </w:trPr>
        <w:tc>
          <w:tcPr>
            <w:tcW w:w="2051" w:type="pct"/>
            <w:tcBorders>
              <w:top w:val="single" w:sz="4" w:space="0" w:color="auto"/>
              <w:bottom w:val="single" w:sz="4" w:space="0" w:color="auto"/>
            </w:tcBorders>
            <w:shd w:val="clear" w:color="auto" w:fill="auto"/>
            <w:vAlign w:val="center"/>
            <w:hideMark/>
          </w:tcPr>
          <w:p w14:paraId="0656E34F" w14:textId="77777777" w:rsidR="00405889" w:rsidRPr="00D41B71" w:rsidRDefault="00405889" w:rsidP="002F27FB">
            <w:pPr>
              <w:rPr>
                <w:b/>
                <w:bCs/>
                <w:sz w:val="21"/>
                <w:szCs w:val="21"/>
              </w:rPr>
            </w:pPr>
            <w:r w:rsidRPr="00D41B71">
              <w:rPr>
                <w:b/>
                <w:bCs/>
                <w:sz w:val="21"/>
                <w:szCs w:val="21"/>
              </w:rPr>
              <w:t>Ambient air pollution concentrations, median (IQR)</w:t>
            </w:r>
          </w:p>
        </w:tc>
        <w:tc>
          <w:tcPr>
            <w:tcW w:w="960" w:type="pct"/>
            <w:tcBorders>
              <w:top w:val="single" w:sz="4" w:space="0" w:color="auto"/>
              <w:bottom w:val="single" w:sz="4" w:space="0" w:color="auto"/>
            </w:tcBorders>
            <w:shd w:val="clear" w:color="auto" w:fill="auto"/>
            <w:vAlign w:val="center"/>
            <w:hideMark/>
          </w:tcPr>
          <w:p w14:paraId="4E5AFEED" w14:textId="77777777" w:rsidR="00405889" w:rsidRPr="00D41B71" w:rsidRDefault="00405889" w:rsidP="002F27FB">
            <w:pPr>
              <w:jc w:val="center"/>
              <w:rPr>
                <w:b/>
                <w:bCs/>
                <w:sz w:val="21"/>
                <w:szCs w:val="21"/>
              </w:rPr>
            </w:pPr>
          </w:p>
        </w:tc>
        <w:tc>
          <w:tcPr>
            <w:tcW w:w="946" w:type="pct"/>
            <w:tcBorders>
              <w:top w:val="single" w:sz="4" w:space="0" w:color="auto"/>
              <w:bottom w:val="single" w:sz="4" w:space="0" w:color="auto"/>
            </w:tcBorders>
            <w:shd w:val="clear" w:color="auto" w:fill="auto"/>
            <w:vAlign w:val="center"/>
            <w:hideMark/>
          </w:tcPr>
          <w:p w14:paraId="13F2B0E7" w14:textId="77777777" w:rsidR="00405889" w:rsidRPr="00D41B71" w:rsidRDefault="00405889" w:rsidP="002F27FB">
            <w:pPr>
              <w:jc w:val="center"/>
              <w:rPr>
                <w:sz w:val="21"/>
                <w:szCs w:val="21"/>
              </w:rPr>
            </w:pPr>
          </w:p>
        </w:tc>
        <w:tc>
          <w:tcPr>
            <w:tcW w:w="1043" w:type="pct"/>
            <w:tcBorders>
              <w:top w:val="single" w:sz="4" w:space="0" w:color="auto"/>
              <w:bottom w:val="single" w:sz="4" w:space="0" w:color="auto"/>
            </w:tcBorders>
            <w:shd w:val="clear" w:color="auto" w:fill="auto"/>
            <w:vAlign w:val="center"/>
            <w:hideMark/>
          </w:tcPr>
          <w:p w14:paraId="6079497C" w14:textId="77777777" w:rsidR="00405889" w:rsidRPr="00D41B71" w:rsidRDefault="00405889" w:rsidP="002F27FB">
            <w:pPr>
              <w:jc w:val="center"/>
              <w:rPr>
                <w:sz w:val="21"/>
                <w:szCs w:val="21"/>
              </w:rPr>
            </w:pPr>
          </w:p>
        </w:tc>
      </w:tr>
      <w:tr w:rsidR="00405889" w:rsidRPr="00D41B71" w14:paraId="7F096BA8" w14:textId="77777777" w:rsidTr="002F27FB">
        <w:trPr>
          <w:trHeight w:val="320"/>
        </w:trPr>
        <w:tc>
          <w:tcPr>
            <w:tcW w:w="2051" w:type="pct"/>
            <w:tcBorders>
              <w:top w:val="single" w:sz="4" w:space="0" w:color="auto"/>
            </w:tcBorders>
            <w:shd w:val="clear" w:color="auto" w:fill="auto"/>
            <w:vAlign w:val="center"/>
            <w:hideMark/>
          </w:tcPr>
          <w:p w14:paraId="6360225D" w14:textId="77777777" w:rsidR="00405889" w:rsidRPr="00D41B71" w:rsidRDefault="00405889" w:rsidP="002F27FB">
            <w:pPr>
              <w:rPr>
                <w:sz w:val="21"/>
                <w:szCs w:val="21"/>
                <w:lang w:val="en-US"/>
              </w:rPr>
            </w:pPr>
            <w:r w:rsidRPr="00D41B71">
              <w:rPr>
                <w:sz w:val="21"/>
                <w:szCs w:val="21"/>
              </w:rPr>
              <w:t>PM</w:t>
            </w:r>
            <w:r w:rsidRPr="00D41B71">
              <w:rPr>
                <w:sz w:val="21"/>
                <w:szCs w:val="21"/>
                <w:vertAlign w:val="subscript"/>
              </w:rPr>
              <w:t>2.5</w:t>
            </w:r>
            <w:r w:rsidRPr="00D41B71">
              <w:rPr>
                <w:sz w:val="21"/>
                <w:szCs w:val="21"/>
                <w:lang w:val="en-US"/>
              </w:rPr>
              <w:t xml:space="preserve"> (</w:t>
            </w:r>
            <w:r w:rsidRPr="00D41B71">
              <w:rPr>
                <w:sz w:val="21"/>
                <w:szCs w:val="21"/>
                <w:lang w:val="en-US"/>
              </w:rPr>
              <w:sym w:font="Symbol" w:char="F06D"/>
            </w:r>
            <w:r w:rsidRPr="00D41B71">
              <w:rPr>
                <w:sz w:val="21"/>
                <w:szCs w:val="21"/>
                <w:lang w:val="en-US"/>
              </w:rPr>
              <w:t>g/m</w:t>
            </w:r>
            <w:r w:rsidRPr="00D41B71">
              <w:rPr>
                <w:sz w:val="21"/>
                <w:szCs w:val="21"/>
                <w:vertAlign w:val="superscript"/>
                <w:lang w:val="en-US"/>
              </w:rPr>
              <w:t>3</w:t>
            </w:r>
            <w:r w:rsidRPr="00D41B71">
              <w:rPr>
                <w:sz w:val="21"/>
                <w:szCs w:val="21"/>
                <w:lang w:val="en-US"/>
              </w:rPr>
              <w:t>)</w:t>
            </w:r>
          </w:p>
        </w:tc>
        <w:tc>
          <w:tcPr>
            <w:tcW w:w="960" w:type="pct"/>
            <w:tcBorders>
              <w:top w:val="single" w:sz="4" w:space="0" w:color="auto"/>
            </w:tcBorders>
            <w:shd w:val="clear" w:color="auto" w:fill="auto"/>
            <w:vAlign w:val="center"/>
            <w:hideMark/>
          </w:tcPr>
          <w:p w14:paraId="7A134078" w14:textId="77777777" w:rsidR="00405889" w:rsidRPr="00D41B71" w:rsidRDefault="00405889" w:rsidP="002F27FB">
            <w:pPr>
              <w:jc w:val="center"/>
              <w:rPr>
                <w:sz w:val="21"/>
                <w:szCs w:val="21"/>
              </w:rPr>
            </w:pPr>
            <w:r w:rsidRPr="00D41B71">
              <w:rPr>
                <w:sz w:val="21"/>
                <w:szCs w:val="21"/>
              </w:rPr>
              <w:t>19.2 (2.2)</w:t>
            </w:r>
          </w:p>
        </w:tc>
        <w:tc>
          <w:tcPr>
            <w:tcW w:w="946" w:type="pct"/>
            <w:tcBorders>
              <w:top w:val="single" w:sz="4" w:space="0" w:color="auto"/>
            </w:tcBorders>
            <w:shd w:val="clear" w:color="auto" w:fill="auto"/>
            <w:vAlign w:val="center"/>
            <w:hideMark/>
          </w:tcPr>
          <w:p w14:paraId="4F9D3101" w14:textId="77777777" w:rsidR="00405889" w:rsidRPr="00D41B71" w:rsidRDefault="00405889" w:rsidP="002F27FB">
            <w:pPr>
              <w:jc w:val="center"/>
              <w:rPr>
                <w:sz w:val="21"/>
                <w:szCs w:val="21"/>
              </w:rPr>
            </w:pPr>
            <w:r w:rsidRPr="00D41B71">
              <w:rPr>
                <w:sz w:val="21"/>
                <w:szCs w:val="21"/>
              </w:rPr>
              <w:t>19.2 (2.17)</w:t>
            </w:r>
          </w:p>
        </w:tc>
        <w:tc>
          <w:tcPr>
            <w:tcW w:w="1043" w:type="pct"/>
            <w:tcBorders>
              <w:top w:val="single" w:sz="4" w:space="0" w:color="auto"/>
            </w:tcBorders>
            <w:shd w:val="clear" w:color="auto" w:fill="auto"/>
            <w:vAlign w:val="center"/>
            <w:hideMark/>
          </w:tcPr>
          <w:p w14:paraId="5C6DE57A" w14:textId="77777777" w:rsidR="00405889" w:rsidRPr="00D41B71" w:rsidRDefault="00405889" w:rsidP="002F27FB">
            <w:pPr>
              <w:jc w:val="center"/>
              <w:rPr>
                <w:sz w:val="21"/>
                <w:szCs w:val="21"/>
              </w:rPr>
            </w:pPr>
            <w:r w:rsidRPr="00D41B71">
              <w:rPr>
                <w:sz w:val="21"/>
                <w:szCs w:val="21"/>
              </w:rPr>
              <w:t>19.2 (2.2)</w:t>
            </w:r>
          </w:p>
        </w:tc>
      </w:tr>
      <w:tr w:rsidR="00405889" w:rsidRPr="00D41B71" w14:paraId="3ED9D492" w14:textId="77777777" w:rsidTr="002F27FB">
        <w:trPr>
          <w:trHeight w:val="320"/>
        </w:trPr>
        <w:tc>
          <w:tcPr>
            <w:tcW w:w="2051" w:type="pct"/>
            <w:tcBorders>
              <w:bottom w:val="nil"/>
            </w:tcBorders>
            <w:shd w:val="clear" w:color="auto" w:fill="auto"/>
            <w:vAlign w:val="center"/>
            <w:hideMark/>
          </w:tcPr>
          <w:p w14:paraId="27741347" w14:textId="77777777" w:rsidR="00405889" w:rsidRPr="00D41B71" w:rsidRDefault="00405889" w:rsidP="002F27FB">
            <w:pPr>
              <w:rPr>
                <w:sz w:val="21"/>
                <w:szCs w:val="21"/>
                <w:lang w:val="en-US"/>
              </w:rPr>
            </w:pPr>
            <w:r w:rsidRPr="00D41B71">
              <w:rPr>
                <w:sz w:val="21"/>
                <w:szCs w:val="21"/>
              </w:rPr>
              <w:t>PM</w:t>
            </w:r>
            <w:r w:rsidRPr="00D41B71">
              <w:rPr>
                <w:sz w:val="21"/>
                <w:szCs w:val="21"/>
                <w:vertAlign w:val="subscript"/>
              </w:rPr>
              <w:t>10</w:t>
            </w:r>
            <w:r w:rsidRPr="00D41B71">
              <w:rPr>
                <w:sz w:val="21"/>
                <w:szCs w:val="21"/>
                <w:vertAlign w:val="subscript"/>
                <w:lang w:val="en-US"/>
              </w:rPr>
              <w:t xml:space="preserve"> </w:t>
            </w:r>
            <w:r w:rsidRPr="00D41B71">
              <w:rPr>
                <w:sz w:val="21"/>
                <w:szCs w:val="21"/>
                <w:lang w:val="en-US"/>
              </w:rPr>
              <w:t>(</w:t>
            </w:r>
            <w:r w:rsidRPr="00D41B71">
              <w:rPr>
                <w:sz w:val="21"/>
                <w:szCs w:val="21"/>
                <w:lang w:val="en-US"/>
              </w:rPr>
              <w:sym w:font="Symbol" w:char="F06D"/>
            </w:r>
            <w:r w:rsidRPr="00D41B71">
              <w:rPr>
                <w:sz w:val="21"/>
                <w:szCs w:val="21"/>
                <w:lang w:val="en-US"/>
              </w:rPr>
              <w:t>g/m</w:t>
            </w:r>
            <w:r w:rsidRPr="00D41B71">
              <w:rPr>
                <w:sz w:val="21"/>
                <w:szCs w:val="21"/>
                <w:vertAlign w:val="superscript"/>
                <w:lang w:val="en-US"/>
              </w:rPr>
              <w:t>3</w:t>
            </w:r>
            <w:r w:rsidRPr="00D41B71">
              <w:rPr>
                <w:sz w:val="21"/>
                <w:szCs w:val="21"/>
                <w:lang w:val="en-US"/>
              </w:rPr>
              <w:t>)</w:t>
            </w:r>
          </w:p>
        </w:tc>
        <w:tc>
          <w:tcPr>
            <w:tcW w:w="960" w:type="pct"/>
            <w:tcBorders>
              <w:bottom w:val="nil"/>
            </w:tcBorders>
            <w:shd w:val="clear" w:color="auto" w:fill="auto"/>
            <w:vAlign w:val="center"/>
            <w:hideMark/>
          </w:tcPr>
          <w:p w14:paraId="2B145F63" w14:textId="77777777" w:rsidR="00405889" w:rsidRPr="00D41B71" w:rsidRDefault="00405889" w:rsidP="002F27FB">
            <w:pPr>
              <w:jc w:val="center"/>
              <w:rPr>
                <w:sz w:val="21"/>
                <w:szCs w:val="21"/>
              </w:rPr>
            </w:pPr>
            <w:r w:rsidRPr="00D41B71">
              <w:rPr>
                <w:sz w:val="21"/>
                <w:szCs w:val="21"/>
              </w:rPr>
              <w:t>27.5 (3.8)</w:t>
            </w:r>
          </w:p>
        </w:tc>
        <w:tc>
          <w:tcPr>
            <w:tcW w:w="946" w:type="pct"/>
            <w:tcBorders>
              <w:bottom w:val="nil"/>
            </w:tcBorders>
            <w:shd w:val="clear" w:color="auto" w:fill="auto"/>
            <w:vAlign w:val="center"/>
            <w:hideMark/>
          </w:tcPr>
          <w:p w14:paraId="479C3593" w14:textId="77777777" w:rsidR="00405889" w:rsidRPr="00D41B71" w:rsidRDefault="00405889" w:rsidP="002F27FB">
            <w:pPr>
              <w:jc w:val="center"/>
              <w:rPr>
                <w:sz w:val="21"/>
                <w:szCs w:val="21"/>
              </w:rPr>
            </w:pPr>
            <w:r w:rsidRPr="00D41B71">
              <w:rPr>
                <w:sz w:val="21"/>
                <w:szCs w:val="21"/>
              </w:rPr>
              <w:t>27.5 (3.8)</w:t>
            </w:r>
          </w:p>
        </w:tc>
        <w:tc>
          <w:tcPr>
            <w:tcW w:w="1043" w:type="pct"/>
            <w:tcBorders>
              <w:bottom w:val="nil"/>
            </w:tcBorders>
            <w:shd w:val="clear" w:color="auto" w:fill="auto"/>
            <w:vAlign w:val="center"/>
            <w:hideMark/>
          </w:tcPr>
          <w:p w14:paraId="4EC035B9" w14:textId="77777777" w:rsidR="00405889" w:rsidRPr="00D41B71" w:rsidRDefault="00405889" w:rsidP="002F27FB">
            <w:pPr>
              <w:jc w:val="center"/>
              <w:rPr>
                <w:sz w:val="21"/>
                <w:szCs w:val="21"/>
              </w:rPr>
            </w:pPr>
            <w:r w:rsidRPr="00D41B71">
              <w:rPr>
                <w:sz w:val="21"/>
                <w:szCs w:val="21"/>
              </w:rPr>
              <w:t>27.5 (3.7)</w:t>
            </w:r>
          </w:p>
        </w:tc>
      </w:tr>
      <w:tr w:rsidR="00405889" w:rsidRPr="00D41B71" w14:paraId="2BB4C855" w14:textId="77777777" w:rsidTr="002F27FB">
        <w:trPr>
          <w:trHeight w:val="320"/>
        </w:trPr>
        <w:tc>
          <w:tcPr>
            <w:tcW w:w="2051" w:type="pct"/>
            <w:tcBorders>
              <w:top w:val="nil"/>
              <w:bottom w:val="single" w:sz="4" w:space="0" w:color="auto"/>
            </w:tcBorders>
            <w:shd w:val="clear" w:color="auto" w:fill="auto"/>
            <w:vAlign w:val="center"/>
            <w:hideMark/>
          </w:tcPr>
          <w:p w14:paraId="45BCC120" w14:textId="77777777" w:rsidR="00405889" w:rsidRPr="00D41B71" w:rsidRDefault="00405889" w:rsidP="002F27FB">
            <w:pPr>
              <w:rPr>
                <w:sz w:val="21"/>
                <w:szCs w:val="21"/>
                <w:lang w:val="en-US"/>
              </w:rPr>
            </w:pPr>
            <w:r w:rsidRPr="00D41B71">
              <w:rPr>
                <w:sz w:val="21"/>
                <w:szCs w:val="21"/>
              </w:rPr>
              <w:t>NO</w:t>
            </w:r>
            <w:r w:rsidRPr="00D41B71">
              <w:rPr>
                <w:sz w:val="21"/>
                <w:szCs w:val="21"/>
                <w:vertAlign w:val="subscript"/>
              </w:rPr>
              <w:t>2</w:t>
            </w:r>
            <w:r w:rsidRPr="00D41B71">
              <w:rPr>
                <w:sz w:val="21"/>
                <w:szCs w:val="21"/>
                <w:lang w:val="en-US"/>
              </w:rPr>
              <w:t xml:space="preserve"> (</w:t>
            </w:r>
            <w:r w:rsidRPr="00D41B71">
              <w:rPr>
                <w:sz w:val="21"/>
                <w:szCs w:val="21"/>
                <w:lang w:val="en-US"/>
              </w:rPr>
              <w:sym w:font="Symbol" w:char="F06D"/>
            </w:r>
            <w:r w:rsidRPr="00D41B71">
              <w:rPr>
                <w:sz w:val="21"/>
                <w:szCs w:val="21"/>
                <w:lang w:val="en-US"/>
              </w:rPr>
              <w:t>g/m</w:t>
            </w:r>
            <w:r w:rsidRPr="00D41B71">
              <w:rPr>
                <w:sz w:val="21"/>
                <w:szCs w:val="21"/>
                <w:vertAlign w:val="superscript"/>
                <w:lang w:val="en-US"/>
              </w:rPr>
              <w:t>3</w:t>
            </w:r>
            <w:r w:rsidRPr="00D41B71">
              <w:rPr>
                <w:sz w:val="21"/>
                <w:szCs w:val="21"/>
                <w:lang w:val="en-US"/>
              </w:rPr>
              <w:t>)</w:t>
            </w:r>
          </w:p>
        </w:tc>
        <w:tc>
          <w:tcPr>
            <w:tcW w:w="960" w:type="pct"/>
            <w:tcBorders>
              <w:top w:val="nil"/>
              <w:bottom w:val="single" w:sz="4" w:space="0" w:color="auto"/>
            </w:tcBorders>
            <w:shd w:val="clear" w:color="auto" w:fill="auto"/>
            <w:vAlign w:val="center"/>
            <w:hideMark/>
          </w:tcPr>
          <w:p w14:paraId="7549CB87" w14:textId="77777777" w:rsidR="00405889" w:rsidRPr="00D41B71" w:rsidRDefault="00405889" w:rsidP="002F27FB">
            <w:pPr>
              <w:jc w:val="center"/>
              <w:rPr>
                <w:sz w:val="21"/>
                <w:szCs w:val="21"/>
              </w:rPr>
            </w:pPr>
            <w:r w:rsidRPr="00D41B71">
              <w:rPr>
                <w:sz w:val="21"/>
                <w:szCs w:val="21"/>
              </w:rPr>
              <w:t>29.1 (12.4)</w:t>
            </w:r>
          </w:p>
        </w:tc>
        <w:tc>
          <w:tcPr>
            <w:tcW w:w="946" w:type="pct"/>
            <w:tcBorders>
              <w:top w:val="nil"/>
              <w:bottom w:val="single" w:sz="4" w:space="0" w:color="auto"/>
            </w:tcBorders>
            <w:shd w:val="clear" w:color="auto" w:fill="auto"/>
            <w:vAlign w:val="center"/>
            <w:hideMark/>
          </w:tcPr>
          <w:p w14:paraId="2B11F141" w14:textId="77777777" w:rsidR="00405889" w:rsidRPr="00D41B71" w:rsidRDefault="00405889" w:rsidP="002F27FB">
            <w:pPr>
              <w:jc w:val="center"/>
              <w:rPr>
                <w:sz w:val="21"/>
                <w:szCs w:val="21"/>
              </w:rPr>
            </w:pPr>
            <w:r w:rsidRPr="00D41B71">
              <w:rPr>
                <w:sz w:val="21"/>
                <w:szCs w:val="21"/>
              </w:rPr>
              <w:t>29.0 (12.5)</w:t>
            </w:r>
          </w:p>
        </w:tc>
        <w:tc>
          <w:tcPr>
            <w:tcW w:w="1043" w:type="pct"/>
            <w:tcBorders>
              <w:top w:val="nil"/>
              <w:bottom w:val="single" w:sz="4" w:space="0" w:color="auto"/>
            </w:tcBorders>
            <w:shd w:val="clear" w:color="auto" w:fill="auto"/>
            <w:vAlign w:val="center"/>
            <w:hideMark/>
          </w:tcPr>
          <w:p w14:paraId="6A612426" w14:textId="77777777" w:rsidR="00405889" w:rsidRPr="00D41B71" w:rsidRDefault="00405889" w:rsidP="002F27FB">
            <w:pPr>
              <w:jc w:val="center"/>
              <w:rPr>
                <w:sz w:val="21"/>
                <w:szCs w:val="21"/>
              </w:rPr>
            </w:pPr>
            <w:r w:rsidRPr="00D41B71">
              <w:rPr>
                <w:sz w:val="21"/>
                <w:szCs w:val="21"/>
              </w:rPr>
              <w:t>29.2 (12.3)</w:t>
            </w:r>
          </w:p>
        </w:tc>
      </w:tr>
      <w:tr w:rsidR="00405889" w:rsidRPr="00D41B71" w14:paraId="70DED6F4" w14:textId="77777777" w:rsidTr="002F27FB">
        <w:trPr>
          <w:trHeight w:val="320"/>
        </w:trPr>
        <w:tc>
          <w:tcPr>
            <w:tcW w:w="2051" w:type="pct"/>
            <w:tcBorders>
              <w:top w:val="single" w:sz="4" w:space="0" w:color="auto"/>
              <w:bottom w:val="single" w:sz="4" w:space="0" w:color="auto"/>
            </w:tcBorders>
            <w:shd w:val="clear" w:color="auto" w:fill="auto"/>
            <w:vAlign w:val="center"/>
            <w:hideMark/>
          </w:tcPr>
          <w:p w14:paraId="51762863" w14:textId="77777777" w:rsidR="00405889" w:rsidRPr="008223B1" w:rsidRDefault="00405889" w:rsidP="002F27FB">
            <w:pPr>
              <w:rPr>
                <w:b/>
                <w:bCs/>
                <w:sz w:val="21"/>
                <w:szCs w:val="21"/>
                <w:vertAlign w:val="superscript"/>
                <w:lang w:val="en-US"/>
              </w:rPr>
            </w:pPr>
            <w:r w:rsidRPr="00D41B71">
              <w:rPr>
                <w:b/>
                <w:bCs/>
                <w:sz w:val="21"/>
                <w:szCs w:val="21"/>
              </w:rPr>
              <w:t>Non-movers, n (%)</w:t>
            </w:r>
            <w:r>
              <w:rPr>
                <w:b/>
                <w:bCs/>
                <w:sz w:val="21"/>
                <w:szCs w:val="21"/>
                <w:lang w:val="en-US"/>
              </w:rPr>
              <w:t xml:space="preserve"> </w:t>
            </w:r>
            <w:r>
              <w:rPr>
                <w:b/>
                <w:bCs/>
                <w:sz w:val="21"/>
                <w:szCs w:val="21"/>
                <w:vertAlign w:val="superscript"/>
                <w:lang w:val="en-US"/>
              </w:rPr>
              <w:t>a</w:t>
            </w:r>
          </w:p>
        </w:tc>
        <w:tc>
          <w:tcPr>
            <w:tcW w:w="960" w:type="pct"/>
            <w:tcBorders>
              <w:top w:val="single" w:sz="4" w:space="0" w:color="auto"/>
              <w:bottom w:val="single" w:sz="4" w:space="0" w:color="auto"/>
            </w:tcBorders>
            <w:shd w:val="clear" w:color="auto" w:fill="auto"/>
            <w:vAlign w:val="center"/>
            <w:hideMark/>
          </w:tcPr>
          <w:p w14:paraId="3CF8510E" w14:textId="77777777" w:rsidR="00405889" w:rsidRPr="00D41B71" w:rsidRDefault="00405889" w:rsidP="002F27FB">
            <w:pPr>
              <w:jc w:val="center"/>
              <w:rPr>
                <w:sz w:val="21"/>
                <w:szCs w:val="21"/>
              </w:rPr>
            </w:pPr>
            <w:r w:rsidRPr="00D41B71">
              <w:rPr>
                <w:sz w:val="21"/>
                <w:szCs w:val="21"/>
              </w:rPr>
              <w:t>1.714,017 (70.2)</w:t>
            </w:r>
          </w:p>
        </w:tc>
        <w:tc>
          <w:tcPr>
            <w:tcW w:w="946" w:type="pct"/>
            <w:tcBorders>
              <w:top w:val="single" w:sz="4" w:space="0" w:color="auto"/>
              <w:bottom w:val="single" w:sz="4" w:space="0" w:color="auto"/>
            </w:tcBorders>
            <w:shd w:val="clear" w:color="auto" w:fill="auto"/>
            <w:vAlign w:val="center"/>
            <w:hideMark/>
          </w:tcPr>
          <w:p w14:paraId="1D4A5FED" w14:textId="77777777" w:rsidR="00405889" w:rsidRPr="00D41B71" w:rsidRDefault="00405889" w:rsidP="002F27FB">
            <w:pPr>
              <w:jc w:val="center"/>
              <w:rPr>
                <w:sz w:val="21"/>
                <w:szCs w:val="21"/>
              </w:rPr>
            </w:pPr>
            <w:r w:rsidRPr="00D41B71">
              <w:rPr>
                <w:sz w:val="21"/>
                <w:szCs w:val="21"/>
              </w:rPr>
              <w:t>791,012 (68.2)</w:t>
            </w:r>
          </w:p>
        </w:tc>
        <w:tc>
          <w:tcPr>
            <w:tcW w:w="1043" w:type="pct"/>
            <w:tcBorders>
              <w:top w:val="single" w:sz="4" w:space="0" w:color="auto"/>
              <w:bottom w:val="single" w:sz="4" w:space="0" w:color="auto"/>
            </w:tcBorders>
            <w:shd w:val="clear" w:color="auto" w:fill="auto"/>
            <w:vAlign w:val="center"/>
            <w:hideMark/>
          </w:tcPr>
          <w:p w14:paraId="494ED8C5" w14:textId="77777777" w:rsidR="00405889" w:rsidRPr="00D41B71" w:rsidRDefault="00405889" w:rsidP="002F27FB">
            <w:pPr>
              <w:jc w:val="center"/>
              <w:rPr>
                <w:sz w:val="21"/>
                <w:szCs w:val="21"/>
              </w:rPr>
            </w:pPr>
            <w:r w:rsidRPr="00D41B71">
              <w:rPr>
                <w:sz w:val="21"/>
                <w:szCs w:val="21"/>
              </w:rPr>
              <w:t>923,005 (72.0)</w:t>
            </w:r>
          </w:p>
        </w:tc>
      </w:tr>
      <w:tr w:rsidR="00405889" w:rsidRPr="00D41B71" w14:paraId="20242EED" w14:textId="77777777" w:rsidTr="002F27FB">
        <w:trPr>
          <w:trHeight w:val="320"/>
        </w:trPr>
        <w:tc>
          <w:tcPr>
            <w:tcW w:w="2051" w:type="pct"/>
            <w:tcBorders>
              <w:top w:val="single" w:sz="4" w:space="0" w:color="auto"/>
              <w:bottom w:val="single" w:sz="4" w:space="0" w:color="auto"/>
            </w:tcBorders>
            <w:shd w:val="clear" w:color="auto" w:fill="auto"/>
            <w:vAlign w:val="center"/>
            <w:hideMark/>
          </w:tcPr>
          <w:p w14:paraId="2FE9433B" w14:textId="77777777" w:rsidR="00405889" w:rsidRPr="008223B1" w:rsidRDefault="00405889" w:rsidP="002F27FB">
            <w:pPr>
              <w:rPr>
                <w:b/>
                <w:bCs/>
                <w:sz w:val="21"/>
                <w:szCs w:val="21"/>
                <w:vertAlign w:val="superscript"/>
                <w:lang w:val="en-US"/>
              </w:rPr>
            </w:pPr>
            <w:r w:rsidRPr="00D41B71">
              <w:rPr>
                <w:b/>
                <w:bCs/>
                <w:sz w:val="21"/>
                <w:szCs w:val="21"/>
              </w:rPr>
              <w:t>Healthy subpopulation, n (%)</w:t>
            </w:r>
            <w:r>
              <w:rPr>
                <w:b/>
                <w:bCs/>
                <w:sz w:val="21"/>
                <w:szCs w:val="21"/>
                <w:lang w:val="en-US"/>
              </w:rPr>
              <w:t xml:space="preserve"> </w:t>
            </w:r>
            <w:r>
              <w:rPr>
                <w:b/>
                <w:bCs/>
                <w:sz w:val="21"/>
                <w:szCs w:val="21"/>
                <w:vertAlign w:val="superscript"/>
                <w:lang w:val="en-US"/>
              </w:rPr>
              <w:t>b</w:t>
            </w:r>
          </w:p>
        </w:tc>
        <w:tc>
          <w:tcPr>
            <w:tcW w:w="960" w:type="pct"/>
            <w:tcBorders>
              <w:top w:val="single" w:sz="4" w:space="0" w:color="auto"/>
              <w:bottom w:val="single" w:sz="4" w:space="0" w:color="auto"/>
            </w:tcBorders>
            <w:shd w:val="clear" w:color="auto" w:fill="auto"/>
            <w:vAlign w:val="center"/>
            <w:hideMark/>
          </w:tcPr>
          <w:p w14:paraId="22C4FA30" w14:textId="77777777" w:rsidR="00405889" w:rsidRPr="00D41B71" w:rsidRDefault="00405889" w:rsidP="002F27FB">
            <w:pPr>
              <w:jc w:val="center"/>
              <w:rPr>
                <w:sz w:val="21"/>
                <w:szCs w:val="21"/>
              </w:rPr>
            </w:pPr>
            <w:r w:rsidRPr="00D41B71">
              <w:rPr>
                <w:sz w:val="21"/>
                <w:szCs w:val="21"/>
              </w:rPr>
              <w:t>1</w:t>
            </w:r>
            <w:r w:rsidRPr="00D41B71">
              <w:rPr>
                <w:sz w:val="21"/>
                <w:szCs w:val="21"/>
                <w:lang w:val="en-US"/>
              </w:rPr>
              <w:t>,</w:t>
            </w:r>
            <w:r w:rsidRPr="00D41B71">
              <w:rPr>
                <w:sz w:val="21"/>
                <w:szCs w:val="21"/>
              </w:rPr>
              <w:t>402</w:t>
            </w:r>
            <w:r w:rsidRPr="00D41B71">
              <w:rPr>
                <w:sz w:val="21"/>
                <w:szCs w:val="21"/>
                <w:lang w:val="en-US"/>
              </w:rPr>
              <w:t>,</w:t>
            </w:r>
            <w:r w:rsidRPr="00D41B71">
              <w:rPr>
                <w:sz w:val="21"/>
                <w:szCs w:val="21"/>
              </w:rPr>
              <w:t>218 (</w:t>
            </w:r>
            <w:r w:rsidRPr="00D41B71">
              <w:rPr>
                <w:sz w:val="21"/>
                <w:szCs w:val="21"/>
                <w:lang w:val="en-US"/>
              </w:rPr>
              <w:t>5</w:t>
            </w:r>
            <w:r w:rsidRPr="00D41B71">
              <w:rPr>
                <w:sz w:val="21"/>
                <w:szCs w:val="21"/>
              </w:rPr>
              <w:t>7.</w:t>
            </w:r>
            <w:r w:rsidRPr="00D41B71">
              <w:rPr>
                <w:sz w:val="21"/>
                <w:szCs w:val="21"/>
                <w:lang w:val="en-US"/>
              </w:rPr>
              <w:t>8</w:t>
            </w:r>
            <w:r w:rsidRPr="00D41B71">
              <w:rPr>
                <w:sz w:val="21"/>
                <w:szCs w:val="21"/>
              </w:rPr>
              <w:t>)</w:t>
            </w:r>
          </w:p>
        </w:tc>
        <w:tc>
          <w:tcPr>
            <w:tcW w:w="946" w:type="pct"/>
            <w:tcBorders>
              <w:top w:val="single" w:sz="4" w:space="0" w:color="auto"/>
              <w:bottom w:val="single" w:sz="4" w:space="0" w:color="auto"/>
            </w:tcBorders>
            <w:shd w:val="clear" w:color="auto" w:fill="auto"/>
            <w:vAlign w:val="center"/>
            <w:hideMark/>
          </w:tcPr>
          <w:p w14:paraId="79BECF69" w14:textId="77777777" w:rsidR="00405889" w:rsidRPr="00D41B71" w:rsidRDefault="00405889" w:rsidP="002F27FB">
            <w:pPr>
              <w:jc w:val="center"/>
              <w:rPr>
                <w:sz w:val="21"/>
                <w:szCs w:val="21"/>
              </w:rPr>
            </w:pPr>
            <w:r w:rsidRPr="00D41B71">
              <w:rPr>
                <w:sz w:val="21"/>
                <w:szCs w:val="21"/>
              </w:rPr>
              <w:t>695</w:t>
            </w:r>
            <w:r w:rsidRPr="00D41B71">
              <w:rPr>
                <w:sz w:val="21"/>
                <w:szCs w:val="21"/>
                <w:lang w:val="en-US"/>
              </w:rPr>
              <w:t>,</w:t>
            </w:r>
            <w:r w:rsidRPr="00D41B71">
              <w:rPr>
                <w:sz w:val="21"/>
                <w:szCs w:val="21"/>
              </w:rPr>
              <w:t>552 (</w:t>
            </w:r>
            <w:r w:rsidRPr="00D41B71">
              <w:rPr>
                <w:sz w:val="21"/>
                <w:szCs w:val="21"/>
                <w:lang w:val="en-US"/>
              </w:rPr>
              <w:t>6</w:t>
            </w:r>
            <w:r w:rsidRPr="00D41B71">
              <w:rPr>
                <w:sz w:val="21"/>
                <w:szCs w:val="21"/>
              </w:rPr>
              <w:t>0.</w:t>
            </w:r>
            <w:r w:rsidRPr="00D41B71">
              <w:rPr>
                <w:sz w:val="21"/>
                <w:szCs w:val="21"/>
                <w:lang w:val="en-US"/>
              </w:rPr>
              <w:t>4</w:t>
            </w:r>
            <w:r w:rsidRPr="00D41B71">
              <w:rPr>
                <w:sz w:val="21"/>
                <w:szCs w:val="21"/>
              </w:rPr>
              <w:t>)</w:t>
            </w:r>
          </w:p>
        </w:tc>
        <w:tc>
          <w:tcPr>
            <w:tcW w:w="1043" w:type="pct"/>
            <w:tcBorders>
              <w:top w:val="single" w:sz="4" w:space="0" w:color="auto"/>
              <w:bottom w:val="single" w:sz="4" w:space="0" w:color="auto"/>
            </w:tcBorders>
            <w:shd w:val="clear" w:color="auto" w:fill="auto"/>
            <w:vAlign w:val="center"/>
            <w:hideMark/>
          </w:tcPr>
          <w:p w14:paraId="2827F664" w14:textId="77777777" w:rsidR="00405889" w:rsidRPr="00D41B71" w:rsidRDefault="00405889" w:rsidP="002F27FB">
            <w:pPr>
              <w:jc w:val="center"/>
              <w:rPr>
                <w:sz w:val="21"/>
                <w:szCs w:val="21"/>
              </w:rPr>
            </w:pPr>
            <w:r w:rsidRPr="00D41B71">
              <w:rPr>
                <w:sz w:val="21"/>
                <w:szCs w:val="21"/>
              </w:rPr>
              <w:t>706</w:t>
            </w:r>
            <w:r w:rsidRPr="00D41B71">
              <w:rPr>
                <w:sz w:val="21"/>
                <w:szCs w:val="21"/>
                <w:lang w:val="en-US"/>
              </w:rPr>
              <w:t>,</w:t>
            </w:r>
            <w:r w:rsidRPr="00D41B71">
              <w:rPr>
                <w:sz w:val="21"/>
                <w:szCs w:val="21"/>
              </w:rPr>
              <w:t>666 (55.</w:t>
            </w:r>
            <w:r w:rsidRPr="00D41B71">
              <w:rPr>
                <w:sz w:val="21"/>
                <w:szCs w:val="21"/>
                <w:lang w:val="en-US"/>
              </w:rPr>
              <w:t>6</w:t>
            </w:r>
            <w:r w:rsidRPr="00D41B71">
              <w:rPr>
                <w:sz w:val="21"/>
                <w:szCs w:val="21"/>
              </w:rPr>
              <w:t>)</w:t>
            </w:r>
          </w:p>
        </w:tc>
      </w:tr>
      <w:tr w:rsidR="00405889" w:rsidRPr="00D41B71" w14:paraId="4973895D" w14:textId="77777777" w:rsidTr="002F27FB">
        <w:trPr>
          <w:trHeight w:val="320"/>
        </w:trPr>
        <w:tc>
          <w:tcPr>
            <w:tcW w:w="2051" w:type="pct"/>
            <w:tcBorders>
              <w:top w:val="single" w:sz="4" w:space="0" w:color="auto"/>
              <w:bottom w:val="single" w:sz="4" w:space="0" w:color="auto"/>
            </w:tcBorders>
            <w:shd w:val="clear" w:color="auto" w:fill="auto"/>
            <w:vAlign w:val="center"/>
          </w:tcPr>
          <w:p w14:paraId="2728F059" w14:textId="77777777" w:rsidR="00405889" w:rsidRPr="00D41B71" w:rsidRDefault="00405889" w:rsidP="002F27FB">
            <w:pPr>
              <w:rPr>
                <w:b/>
                <w:bCs/>
                <w:sz w:val="21"/>
                <w:szCs w:val="21"/>
                <w:lang w:val="en-US"/>
              </w:rPr>
            </w:pPr>
            <w:r w:rsidRPr="00D41B71">
              <w:rPr>
                <w:b/>
                <w:bCs/>
                <w:sz w:val="21"/>
                <w:szCs w:val="21"/>
                <w:lang w:val="en-US"/>
              </w:rPr>
              <w:t>City residents, n (%)</w:t>
            </w:r>
          </w:p>
        </w:tc>
        <w:tc>
          <w:tcPr>
            <w:tcW w:w="960" w:type="pct"/>
            <w:tcBorders>
              <w:top w:val="single" w:sz="4" w:space="0" w:color="auto"/>
              <w:bottom w:val="single" w:sz="4" w:space="0" w:color="auto"/>
            </w:tcBorders>
            <w:shd w:val="clear" w:color="auto" w:fill="auto"/>
            <w:vAlign w:val="center"/>
          </w:tcPr>
          <w:p w14:paraId="68994D49" w14:textId="77777777" w:rsidR="00405889" w:rsidRPr="00D41B71" w:rsidRDefault="00405889" w:rsidP="002F27FB">
            <w:pPr>
              <w:jc w:val="center"/>
              <w:rPr>
                <w:sz w:val="21"/>
                <w:szCs w:val="21"/>
                <w:lang w:val="en-US"/>
              </w:rPr>
            </w:pPr>
            <w:r w:rsidRPr="00D41B71">
              <w:rPr>
                <w:sz w:val="21"/>
                <w:szCs w:val="21"/>
              </w:rPr>
              <w:t>2</w:t>
            </w:r>
            <w:r w:rsidRPr="00D41B71">
              <w:rPr>
                <w:sz w:val="21"/>
                <w:szCs w:val="21"/>
                <w:lang w:val="en-US"/>
              </w:rPr>
              <w:t>,</w:t>
            </w:r>
            <w:r w:rsidRPr="00D41B71">
              <w:rPr>
                <w:sz w:val="21"/>
                <w:szCs w:val="21"/>
              </w:rPr>
              <w:t>055</w:t>
            </w:r>
            <w:r w:rsidRPr="00D41B71">
              <w:rPr>
                <w:sz w:val="21"/>
                <w:szCs w:val="21"/>
                <w:lang w:val="en-US"/>
              </w:rPr>
              <w:t>,</w:t>
            </w:r>
            <w:r w:rsidRPr="00D41B71">
              <w:rPr>
                <w:sz w:val="21"/>
                <w:szCs w:val="21"/>
              </w:rPr>
              <w:t>994</w:t>
            </w:r>
            <w:r w:rsidRPr="00D41B71">
              <w:rPr>
                <w:sz w:val="21"/>
                <w:szCs w:val="21"/>
                <w:lang w:val="en-US"/>
              </w:rPr>
              <w:t xml:space="preserve"> (84.2)</w:t>
            </w:r>
          </w:p>
        </w:tc>
        <w:tc>
          <w:tcPr>
            <w:tcW w:w="946" w:type="pct"/>
            <w:tcBorders>
              <w:top w:val="single" w:sz="4" w:space="0" w:color="auto"/>
              <w:bottom w:val="single" w:sz="4" w:space="0" w:color="auto"/>
            </w:tcBorders>
            <w:shd w:val="clear" w:color="auto" w:fill="auto"/>
            <w:vAlign w:val="center"/>
          </w:tcPr>
          <w:p w14:paraId="5C36EA3F" w14:textId="77777777" w:rsidR="00405889" w:rsidRPr="00D41B71" w:rsidRDefault="00405889" w:rsidP="002F27FB">
            <w:pPr>
              <w:jc w:val="center"/>
              <w:rPr>
                <w:sz w:val="21"/>
                <w:szCs w:val="21"/>
                <w:lang w:val="en-US"/>
              </w:rPr>
            </w:pPr>
            <w:r w:rsidRPr="00D41B71">
              <w:rPr>
                <w:sz w:val="21"/>
                <w:szCs w:val="21"/>
              </w:rPr>
              <w:t>972</w:t>
            </w:r>
            <w:r w:rsidRPr="00D41B71">
              <w:rPr>
                <w:sz w:val="21"/>
                <w:szCs w:val="21"/>
                <w:lang w:val="en-US"/>
              </w:rPr>
              <w:t>,</w:t>
            </w:r>
            <w:r w:rsidRPr="00D41B71">
              <w:rPr>
                <w:sz w:val="21"/>
                <w:szCs w:val="21"/>
              </w:rPr>
              <w:t>903</w:t>
            </w:r>
            <w:r w:rsidRPr="00D41B71">
              <w:rPr>
                <w:sz w:val="21"/>
                <w:szCs w:val="21"/>
                <w:lang w:val="en-US"/>
              </w:rPr>
              <w:t xml:space="preserve"> (83.9)</w:t>
            </w:r>
          </w:p>
        </w:tc>
        <w:tc>
          <w:tcPr>
            <w:tcW w:w="1043" w:type="pct"/>
            <w:tcBorders>
              <w:top w:val="single" w:sz="4" w:space="0" w:color="auto"/>
              <w:bottom w:val="single" w:sz="4" w:space="0" w:color="auto"/>
            </w:tcBorders>
            <w:shd w:val="clear" w:color="auto" w:fill="auto"/>
            <w:vAlign w:val="center"/>
          </w:tcPr>
          <w:p w14:paraId="41C54EF9" w14:textId="77777777" w:rsidR="00405889" w:rsidRPr="00D41B71" w:rsidRDefault="00405889" w:rsidP="002F27FB">
            <w:pPr>
              <w:jc w:val="center"/>
              <w:rPr>
                <w:sz w:val="21"/>
                <w:szCs w:val="21"/>
                <w:lang w:val="en-US"/>
              </w:rPr>
            </w:pPr>
            <w:r w:rsidRPr="00D41B71">
              <w:rPr>
                <w:sz w:val="21"/>
                <w:szCs w:val="21"/>
              </w:rPr>
              <w:t>1</w:t>
            </w:r>
            <w:r w:rsidRPr="00D41B71">
              <w:rPr>
                <w:sz w:val="21"/>
                <w:szCs w:val="21"/>
                <w:lang w:val="en-US"/>
              </w:rPr>
              <w:t>,</w:t>
            </w:r>
            <w:r w:rsidRPr="00D41B71">
              <w:rPr>
                <w:sz w:val="21"/>
                <w:szCs w:val="21"/>
              </w:rPr>
              <w:t>083</w:t>
            </w:r>
            <w:r w:rsidRPr="00D41B71">
              <w:rPr>
                <w:sz w:val="21"/>
                <w:szCs w:val="21"/>
                <w:lang w:val="en-US"/>
              </w:rPr>
              <w:t>,</w:t>
            </w:r>
            <w:r w:rsidRPr="00D41B71">
              <w:rPr>
                <w:sz w:val="21"/>
                <w:szCs w:val="21"/>
              </w:rPr>
              <w:t>091</w:t>
            </w:r>
            <w:r w:rsidRPr="00D41B71">
              <w:rPr>
                <w:sz w:val="21"/>
                <w:szCs w:val="21"/>
                <w:lang w:val="en-US"/>
              </w:rPr>
              <w:t xml:space="preserve"> (84.5)</w:t>
            </w:r>
          </w:p>
        </w:tc>
      </w:tr>
      <w:tr w:rsidR="00405889" w:rsidRPr="00D41B71" w14:paraId="5F6005C4" w14:textId="77777777" w:rsidTr="002F27FB">
        <w:trPr>
          <w:trHeight w:val="320"/>
        </w:trPr>
        <w:tc>
          <w:tcPr>
            <w:tcW w:w="5000" w:type="pct"/>
            <w:gridSpan w:val="4"/>
            <w:tcBorders>
              <w:top w:val="single" w:sz="4" w:space="0" w:color="auto"/>
            </w:tcBorders>
            <w:shd w:val="clear" w:color="auto" w:fill="auto"/>
            <w:vAlign w:val="center"/>
          </w:tcPr>
          <w:p w14:paraId="706985A1" w14:textId="77777777" w:rsidR="00405889" w:rsidRPr="002369C3" w:rsidRDefault="00405889" w:rsidP="002F27FB">
            <w:pPr>
              <w:rPr>
                <w:sz w:val="21"/>
                <w:szCs w:val="21"/>
              </w:rPr>
            </w:pPr>
            <w:r w:rsidRPr="002369C3">
              <w:rPr>
                <w:sz w:val="21"/>
                <w:szCs w:val="21"/>
                <w:vertAlign w:val="superscript"/>
              </w:rPr>
              <w:t>a</w:t>
            </w:r>
            <w:r w:rsidRPr="002369C3">
              <w:rPr>
                <w:sz w:val="21"/>
                <w:szCs w:val="21"/>
              </w:rPr>
              <w:t xml:space="preserve"> Individuals who did not move from census tract during the 10 years prior to baseline (1991-2001).</w:t>
            </w:r>
          </w:p>
          <w:p w14:paraId="1B387152" w14:textId="77777777" w:rsidR="00405889" w:rsidRPr="00D41B71" w:rsidRDefault="00405889" w:rsidP="002F27FB">
            <w:pPr>
              <w:rPr>
                <w:sz w:val="21"/>
                <w:szCs w:val="21"/>
              </w:rPr>
            </w:pPr>
            <w:r w:rsidRPr="002369C3">
              <w:rPr>
                <w:sz w:val="21"/>
                <w:szCs w:val="21"/>
                <w:vertAlign w:val="superscript"/>
              </w:rPr>
              <w:t>b</w:t>
            </w:r>
            <w:r w:rsidRPr="002369C3">
              <w:rPr>
                <w:sz w:val="21"/>
                <w:szCs w:val="21"/>
              </w:rPr>
              <w:t xml:space="preserve"> Individuals who at baseline (2001 census) reported (very) good self-perceived health or not having any longstanding limiting illnesses.</w:t>
            </w:r>
          </w:p>
        </w:tc>
      </w:tr>
    </w:tbl>
    <w:p w14:paraId="4B3831EC" w14:textId="77777777" w:rsidR="00E11F36" w:rsidRPr="00405889" w:rsidRDefault="00E11F36" w:rsidP="00801558">
      <w:pPr>
        <w:spacing w:line="276" w:lineRule="auto"/>
        <w:jc w:val="both"/>
        <w:rPr>
          <w:bCs/>
        </w:rPr>
      </w:pPr>
    </w:p>
    <w:p w14:paraId="6461CB3C" w14:textId="5CBD5326" w:rsidR="0049337B" w:rsidRDefault="0049337B" w:rsidP="00801558">
      <w:pPr>
        <w:spacing w:line="276" w:lineRule="auto"/>
        <w:jc w:val="both"/>
        <w:rPr>
          <w:bCs/>
          <w:lang w:val="en-US"/>
        </w:rPr>
      </w:pPr>
      <w:r w:rsidRPr="0059620D">
        <w:rPr>
          <w:b/>
          <w:lang w:val="en-US"/>
        </w:rPr>
        <w:t>Table 1.</w:t>
      </w:r>
      <w:r>
        <w:rPr>
          <w:b/>
          <w:lang w:val="en-US"/>
        </w:rPr>
        <w:t xml:space="preserve"> </w:t>
      </w:r>
      <w:r w:rsidR="00590446" w:rsidRPr="00590446">
        <w:rPr>
          <w:bCs/>
          <w:lang w:val="en-US"/>
        </w:rPr>
        <w:t>Description of the study population at baseline</w:t>
      </w:r>
      <w:r w:rsidR="00B464C1">
        <w:rPr>
          <w:bCs/>
          <w:lang w:val="en-US"/>
        </w:rPr>
        <w:t xml:space="preserve"> </w:t>
      </w:r>
      <w:r w:rsidR="00B464C1" w:rsidRPr="00B464C1">
        <w:rPr>
          <w:bCs/>
          <w:i/>
          <w:iCs/>
          <w:u w:val="single"/>
          <w:lang w:val="en-US"/>
        </w:rPr>
        <w:t>(total</w:t>
      </w:r>
      <w:r w:rsidR="00590446" w:rsidRPr="00B464C1">
        <w:rPr>
          <w:bCs/>
          <w:i/>
          <w:iCs/>
          <w:u w:val="single"/>
          <w:lang w:val="en-US"/>
        </w:rPr>
        <w:t xml:space="preserve"> and by gender</w:t>
      </w:r>
      <w:r w:rsidR="00B464C1">
        <w:rPr>
          <w:bCs/>
          <w:lang w:val="en-US"/>
        </w:rPr>
        <w:t>)</w:t>
      </w:r>
      <w:r w:rsidR="00590446" w:rsidRPr="00590446">
        <w:rPr>
          <w:bCs/>
          <w:lang w:val="en-US"/>
        </w:rPr>
        <w:t>. Five largest Belgian urban areas, 2001-2014.</w:t>
      </w:r>
    </w:p>
    <w:p w14:paraId="042CC187" w14:textId="77777777" w:rsidR="00590446" w:rsidRDefault="00590446" w:rsidP="00801558">
      <w:pPr>
        <w:spacing w:line="276" w:lineRule="auto"/>
        <w:jc w:val="both"/>
        <w:rPr>
          <w:bCs/>
          <w:lang w:val="en-US"/>
        </w:rPr>
      </w:pPr>
    </w:p>
    <w:p w14:paraId="468B85CC" w14:textId="1542BC29" w:rsidR="0009615A" w:rsidRPr="003C6A66" w:rsidRDefault="00FB4932" w:rsidP="00801558">
      <w:pPr>
        <w:spacing w:line="276" w:lineRule="auto"/>
        <w:jc w:val="both"/>
        <w:rPr>
          <w:bCs/>
          <w:lang w:val="en-GB"/>
        </w:rPr>
      </w:pPr>
      <w:r w:rsidRPr="003C6A66">
        <w:rPr>
          <w:bCs/>
          <w:lang w:val="en-GB"/>
        </w:rPr>
        <w:t xml:space="preserve">Spearman correlations </w:t>
      </w:r>
      <w:r w:rsidR="00CC6BB4" w:rsidRPr="003C6A66">
        <w:rPr>
          <w:bCs/>
          <w:lang w:val="en-GB"/>
        </w:rPr>
        <w:t>between</w:t>
      </w:r>
      <w:r w:rsidRPr="003C6A66">
        <w:rPr>
          <w:bCs/>
          <w:lang w:val="en-GB"/>
        </w:rPr>
        <w:t xml:space="preserve"> environmental and area-level socioeconomic position (SEP)</w:t>
      </w:r>
      <w:r w:rsidR="00CC6BB4" w:rsidRPr="003C6A66">
        <w:rPr>
          <w:bCs/>
          <w:lang w:val="en-GB"/>
        </w:rPr>
        <w:t xml:space="preserve"> indicators</w:t>
      </w:r>
      <w:r w:rsidR="00791A53" w:rsidRPr="003C6A66">
        <w:rPr>
          <w:bCs/>
          <w:lang w:val="en-GB"/>
        </w:rPr>
        <w:t xml:space="preserve"> are displayed in Figure </w:t>
      </w:r>
      <w:r w:rsidR="00791A53" w:rsidRPr="00F20926">
        <w:rPr>
          <w:bCs/>
          <w:lang w:val="en-GB"/>
        </w:rPr>
        <w:t>S</w:t>
      </w:r>
      <w:r w:rsidR="00025A16" w:rsidRPr="00F20926">
        <w:rPr>
          <w:bCs/>
          <w:lang w:val="en-GB"/>
        </w:rPr>
        <w:t>3</w:t>
      </w:r>
      <w:r w:rsidR="00791A53" w:rsidRPr="003C6A66">
        <w:rPr>
          <w:bCs/>
          <w:lang w:val="en-GB"/>
        </w:rPr>
        <w:t xml:space="preserve">. </w:t>
      </w:r>
      <w:r w:rsidR="00D0685A" w:rsidRPr="003C6A66">
        <w:rPr>
          <w:bCs/>
          <w:lang w:val="en-GB"/>
        </w:rPr>
        <w:t xml:space="preserve">We observed </w:t>
      </w:r>
      <w:r w:rsidR="009E1508" w:rsidRPr="003C6A66">
        <w:rPr>
          <w:bCs/>
          <w:lang w:val="en-GB"/>
        </w:rPr>
        <w:t>strong</w:t>
      </w:r>
      <w:r w:rsidR="00D0685A" w:rsidRPr="003C6A66">
        <w:rPr>
          <w:bCs/>
          <w:lang w:val="en-GB"/>
        </w:rPr>
        <w:t xml:space="preserve"> positive correlations </w:t>
      </w:r>
      <w:r w:rsidR="009E1508" w:rsidRPr="003C6A66">
        <w:rPr>
          <w:bCs/>
          <w:lang w:val="en-GB"/>
        </w:rPr>
        <w:t>between surrounding greenness and surrounding green areas</w:t>
      </w:r>
      <w:r w:rsidR="00843EF7" w:rsidRPr="003C6A66">
        <w:rPr>
          <w:bCs/>
          <w:lang w:val="en-GB"/>
        </w:rPr>
        <w:t>.</w:t>
      </w:r>
      <w:r w:rsidR="005C1E9F" w:rsidRPr="003C6A66">
        <w:rPr>
          <w:bCs/>
          <w:lang w:val="en-GB"/>
        </w:rPr>
        <w:t xml:space="preserve"> </w:t>
      </w:r>
      <w:r w:rsidR="006F666A" w:rsidRPr="003C6A66">
        <w:rPr>
          <w:bCs/>
          <w:lang w:val="en-GB"/>
        </w:rPr>
        <w:t>Both</w:t>
      </w:r>
      <w:r w:rsidR="008218C4" w:rsidRPr="003C6A66">
        <w:rPr>
          <w:bCs/>
          <w:lang w:val="en-GB"/>
        </w:rPr>
        <w:t xml:space="preserve"> were positively</w:t>
      </w:r>
      <w:r w:rsidR="006A4771" w:rsidRPr="003C6A66">
        <w:rPr>
          <w:bCs/>
          <w:lang w:val="en-GB"/>
        </w:rPr>
        <w:t xml:space="preserve"> but </w:t>
      </w:r>
      <w:r w:rsidR="004874FD" w:rsidRPr="003C6A66">
        <w:rPr>
          <w:bCs/>
          <w:lang w:val="en-GB"/>
        </w:rPr>
        <w:t xml:space="preserve">moderately to </w:t>
      </w:r>
      <w:r w:rsidR="006A4771" w:rsidRPr="003C6A66">
        <w:rPr>
          <w:bCs/>
          <w:lang w:val="en-GB"/>
        </w:rPr>
        <w:t>weakly</w:t>
      </w:r>
      <w:r w:rsidR="008218C4" w:rsidRPr="003C6A66">
        <w:rPr>
          <w:bCs/>
          <w:lang w:val="en-GB"/>
        </w:rPr>
        <w:t xml:space="preserve"> correlated with perceived </w:t>
      </w:r>
      <w:r w:rsidR="0049337B" w:rsidRPr="003C6A66">
        <w:rPr>
          <w:bCs/>
          <w:lang w:val="en-GB"/>
        </w:rPr>
        <w:t>neighbourhood</w:t>
      </w:r>
      <w:r w:rsidR="008218C4" w:rsidRPr="003C6A66">
        <w:rPr>
          <w:bCs/>
          <w:lang w:val="en-GB"/>
        </w:rPr>
        <w:t xml:space="preserve"> greenness (</w:t>
      </w:r>
      <w:r w:rsidR="001B782A" w:rsidRPr="005E3FCF">
        <w:rPr>
          <w:bCs/>
          <w:lang w:val="en-GB"/>
        </w:rPr>
        <w:t xml:space="preserve">for </w:t>
      </w:r>
      <w:r w:rsidR="002F2932" w:rsidRPr="005E3FCF">
        <w:rPr>
          <w:bCs/>
          <w:lang w:val="en-GB"/>
        </w:rPr>
        <w:t>surrounding greenness</w:t>
      </w:r>
      <w:r w:rsidR="00A73D9F" w:rsidRPr="005E3FCF">
        <w:rPr>
          <w:bCs/>
          <w:lang w:val="en-GB"/>
        </w:rPr>
        <w:t xml:space="preserve">, </w:t>
      </w:r>
      <w:r w:rsidR="003A239B" w:rsidRPr="001F2AD8">
        <w:rPr>
          <w:bCs/>
          <w:lang w:val="en-GB"/>
        </w:rPr>
        <w:t>3</w:t>
      </w:r>
      <w:r w:rsidR="00A73D9F" w:rsidRPr="001F2AD8">
        <w:rPr>
          <w:bCs/>
          <w:lang w:val="en-GB"/>
        </w:rPr>
        <w:t>00-m</w:t>
      </w:r>
      <w:r w:rsidR="001B782A" w:rsidRPr="001F2AD8">
        <w:rPr>
          <w:bCs/>
          <w:lang w:val="en-GB"/>
        </w:rPr>
        <w:t xml:space="preserve">: </w:t>
      </w:r>
      <w:r w:rsidR="00F94142" w:rsidRPr="001F2AD8">
        <w:rPr>
          <w:bCs/>
          <w:lang w:val="en-GB"/>
        </w:rPr>
        <w:t>r=0.4</w:t>
      </w:r>
      <w:r w:rsidR="003A239B" w:rsidRPr="001F2AD8">
        <w:rPr>
          <w:bCs/>
          <w:lang w:val="en-GB"/>
        </w:rPr>
        <w:t>2</w:t>
      </w:r>
      <w:r w:rsidR="00F94142" w:rsidRPr="005E3FCF">
        <w:rPr>
          <w:bCs/>
          <w:lang w:val="en-GB"/>
        </w:rPr>
        <w:t>)</w:t>
      </w:r>
      <w:r w:rsidR="00F94142" w:rsidRPr="003C6A66">
        <w:rPr>
          <w:bCs/>
          <w:lang w:val="en-GB"/>
        </w:rPr>
        <w:t>.</w:t>
      </w:r>
      <w:r w:rsidR="004C7B6C" w:rsidRPr="003C6A66">
        <w:rPr>
          <w:bCs/>
          <w:lang w:val="en-GB"/>
        </w:rPr>
        <w:t xml:space="preserve"> </w:t>
      </w:r>
      <w:r w:rsidR="00280E76">
        <w:rPr>
          <w:bCs/>
          <w:lang w:val="en-GB"/>
        </w:rPr>
        <w:t>A</w:t>
      </w:r>
      <w:r w:rsidR="00BC6566" w:rsidRPr="003C6A66">
        <w:rPr>
          <w:bCs/>
          <w:lang w:val="en-GB"/>
        </w:rPr>
        <w:t>ir pollution concentration</w:t>
      </w:r>
      <w:r w:rsidR="00DA4282">
        <w:rPr>
          <w:bCs/>
          <w:lang w:val="en-GB"/>
        </w:rPr>
        <w:t>s</w:t>
      </w:r>
      <w:r w:rsidR="00280E76" w:rsidRPr="00280E76">
        <w:rPr>
          <w:bCs/>
          <w:lang w:val="en-GB"/>
        </w:rPr>
        <w:t xml:space="preserve"> </w:t>
      </w:r>
      <w:r w:rsidR="00280E76">
        <w:rPr>
          <w:bCs/>
          <w:lang w:val="en-GB"/>
        </w:rPr>
        <w:t xml:space="preserve">were strongly negatively correlated with </w:t>
      </w:r>
      <w:r w:rsidR="00DA4282">
        <w:rPr>
          <w:bCs/>
          <w:lang w:val="en-GB"/>
        </w:rPr>
        <w:t>s</w:t>
      </w:r>
      <w:r w:rsidR="00280E76" w:rsidRPr="003C6A66">
        <w:rPr>
          <w:bCs/>
          <w:lang w:val="en-GB"/>
        </w:rPr>
        <w:t xml:space="preserve">urrounding greenness and green areas </w:t>
      </w:r>
      <w:r w:rsidR="00BC6566" w:rsidRPr="003C6A66">
        <w:rPr>
          <w:bCs/>
          <w:lang w:val="en-GB"/>
        </w:rPr>
        <w:t>(</w:t>
      </w:r>
      <w:r w:rsidR="009A2C54" w:rsidRPr="003C6A66">
        <w:rPr>
          <w:bCs/>
          <w:lang w:val="en-GB"/>
        </w:rPr>
        <w:t xml:space="preserve">e.g., </w:t>
      </w:r>
      <w:r w:rsidR="00857734" w:rsidRPr="005E3FCF">
        <w:rPr>
          <w:bCs/>
          <w:lang w:val="en-GB"/>
        </w:rPr>
        <w:t>for</w:t>
      </w:r>
      <w:r w:rsidR="003E6594" w:rsidRPr="005E3FCF">
        <w:rPr>
          <w:bCs/>
          <w:lang w:val="en-GB"/>
        </w:rPr>
        <w:t xml:space="preserve"> NO</w:t>
      </w:r>
      <w:r w:rsidR="003E6594" w:rsidRPr="005E3FCF">
        <w:rPr>
          <w:bCs/>
          <w:vertAlign w:val="subscript"/>
          <w:lang w:val="en-GB"/>
        </w:rPr>
        <w:t>2</w:t>
      </w:r>
      <w:r w:rsidR="00857734" w:rsidRPr="005E3FCF">
        <w:rPr>
          <w:bCs/>
          <w:lang w:val="en-GB"/>
        </w:rPr>
        <w:t xml:space="preserve"> </w:t>
      </w:r>
      <w:r w:rsidR="003E6594" w:rsidRPr="005E3FCF">
        <w:rPr>
          <w:bCs/>
          <w:lang w:val="en-GB"/>
        </w:rPr>
        <w:t xml:space="preserve">and </w:t>
      </w:r>
      <w:r w:rsidR="00857734" w:rsidRPr="005E3FCF">
        <w:rPr>
          <w:bCs/>
          <w:lang w:val="en-GB"/>
        </w:rPr>
        <w:t xml:space="preserve">surrounding greenness, </w:t>
      </w:r>
      <w:r w:rsidR="003A239B" w:rsidRPr="001F2AD8">
        <w:rPr>
          <w:bCs/>
          <w:lang w:val="en-GB"/>
        </w:rPr>
        <w:t>3</w:t>
      </w:r>
      <w:r w:rsidR="00857734" w:rsidRPr="001F2AD8">
        <w:rPr>
          <w:bCs/>
          <w:lang w:val="en-GB"/>
        </w:rPr>
        <w:t>00-m: r=-0.7</w:t>
      </w:r>
      <w:r w:rsidR="006C0F66" w:rsidRPr="001F2AD8">
        <w:rPr>
          <w:bCs/>
          <w:lang w:val="en-GB"/>
        </w:rPr>
        <w:t>6</w:t>
      </w:r>
      <w:r w:rsidR="00DA4282" w:rsidRPr="001F2AD8">
        <w:rPr>
          <w:bCs/>
          <w:lang w:val="en-GB"/>
        </w:rPr>
        <w:t>,</w:t>
      </w:r>
      <w:r w:rsidR="00DA4282">
        <w:rPr>
          <w:bCs/>
          <w:lang w:val="en-GB"/>
        </w:rPr>
        <w:t xml:space="preserve"> but </w:t>
      </w:r>
      <w:r w:rsidR="009A40B2">
        <w:rPr>
          <w:bCs/>
          <w:lang w:val="en-GB"/>
        </w:rPr>
        <w:t xml:space="preserve">weakly correlated </w:t>
      </w:r>
      <w:r w:rsidR="00EC3B97">
        <w:rPr>
          <w:bCs/>
          <w:lang w:val="en-GB"/>
        </w:rPr>
        <w:t>with</w:t>
      </w:r>
      <w:r w:rsidR="00857734" w:rsidRPr="003C6A66">
        <w:rPr>
          <w:bCs/>
          <w:lang w:val="en-GB"/>
        </w:rPr>
        <w:t xml:space="preserve"> </w:t>
      </w:r>
      <w:r w:rsidR="00EC3B97">
        <w:rPr>
          <w:bCs/>
          <w:lang w:val="en-GB"/>
        </w:rPr>
        <w:t>p</w:t>
      </w:r>
      <w:r w:rsidR="00857734" w:rsidRPr="003C6A66">
        <w:rPr>
          <w:bCs/>
          <w:lang w:val="en-GB"/>
        </w:rPr>
        <w:t xml:space="preserve">erceived </w:t>
      </w:r>
      <w:r w:rsidR="0049337B" w:rsidRPr="003C6A66">
        <w:rPr>
          <w:bCs/>
          <w:lang w:val="en-GB"/>
        </w:rPr>
        <w:t>neighbourhood</w:t>
      </w:r>
      <w:r w:rsidR="00857734" w:rsidRPr="003C6A66">
        <w:rPr>
          <w:bCs/>
          <w:lang w:val="en-GB"/>
        </w:rPr>
        <w:t xml:space="preserve"> greenness. </w:t>
      </w:r>
      <w:r w:rsidR="00EC3B97">
        <w:rPr>
          <w:bCs/>
          <w:lang w:val="en-GB"/>
        </w:rPr>
        <w:t>A</w:t>
      </w:r>
      <w:r w:rsidR="005B5C3D" w:rsidRPr="003C6A66">
        <w:rPr>
          <w:bCs/>
          <w:lang w:val="en-GB"/>
        </w:rPr>
        <w:t>ll</w:t>
      </w:r>
      <w:r w:rsidR="00857734" w:rsidRPr="003C6A66">
        <w:rPr>
          <w:bCs/>
          <w:lang w:val="en-GB"/>
        </w:rPr>
        <w:t xml:space="preserve"> </w:t>
      </w:r>
      <w:r w:rsidR="005B5C3D" w:rsidRPr="003C6A66">
        <w:rPr>
          <w:bCs/>
          <w:lang w:val="en-GB"/>
        </w:rPr>
        <w:t>green spaces</w:t>
      </w:r>
      <w:r w:rsidR="00EC3B97">
        <w:rPr>
          <w:bCs/>
          <w:lang w:val="en-GB"/>
        </w:rPr>
        <w:t>’</w:t>
      </w:r>
      <w:r w:rsidR="005B5C3D" w:rsidRPr="003C6A66">
        <w:rPr>
          <w:bCs/>
          <w:lang w:val="en-GB"/>
        </w:rPr>
        <w:t xml:space="preserve"> </w:t>
      </w:r>
      <w:r w:rsidR="00F5043A" w:rsidRPr="003C6A66">
        <w:rPr>
          <w:bCs/>
          <w:lang w:val="en-GB"/>
        </w:rPr>
        <w:t xml:space="preserve">indicators </w:t>
      </w:r>
      <w:r w:rsidR="00EA0CC1" w:rsidRPr="003C6A66">
        <w:rPr>
          <w:bCs/>
          <w:lang w:val="en-GB"/>
        </w:rPr>
        <w:t>showed</w:t>
      </w:r>
      <w:r w:rsidR="005B5C3D" w:rsidRPr="003C6A66">
        <w:rPr>
          <w:bCs/>
          <w:lang w:val="en-GB"/>
        </w:rPr>
        <w:t xml:space="preserve"> moderate</w:t>
      </w:r>
      <w:r w:rsidR="00EA0CC1" w:rsidRPr="003C6A66">
        <w:rPr>
          <w:bCs/>
          <w:lang w:val="en-GB"/>
        </w:rPr>
        <w:t xml:space="preserve"> to weak</w:t>
      </w:r>
      <w:r w:rsidR="005B5C3D" w:rsidRPr="003C6A66">
        <w:rPr>
          <w:bCs/>
          <w:lang w:val="en-GB"/>
        </w:rPr>
        <w:t xml:space="preserve"> negative </w:t>
      </w:r>
      <w:r w:rsidR="00EA0CC1" w:rsidRPr="003C6A66">
        <w:rPr>
          <w:bCs/>
          <w:lang w:val="en-GB"/>
        </w:rPr>
        <w:t>correlations</w:t>
      </w:r>
      <w:r w:rsidR="005B5C3D" w:rsidRPr="003C6A66">
        <w:rPr>
          <w:bCs/>
          <w:lang w:val="en-GB"/>
        </w:rPr>
        <w:t xml:space="preserve"> with</w:t>
      </w:r>
      <w:r w:rsidR="004C3441" w:rsidRPr="003C6A66">
        <w:rPr>
          <w:bCs/>
          <w:lang w:val="en-GB"/>
        </w:rPr>
        <w:t xml:space="preserve"> area-level SEP, being strongest for surrounding greenness (</w:t>
      </w:r>
      <w:r w:rsidR="00250478" w:rsidRPr="001F2AD8">
        <w:rPr>
          <w:bCs/>
          <w:lang w:val="en-GB"/>
        </w:rPr>
        <w:t xml:space="preserve">for </w:t>
      </w:r>
      <w:r w:rsidR="007E0848" w:rsidRPr="001F2AD8">
        <w:rPr>
          <w:bCs/>
          <w:lang w:val="en-GB"/>
        </w:rPr>
        <w:t>3</w:t>
      </w:r>
      <w:r w:rsidR="00250478" w:rsidRPr="001F2AD8">
        <w:rPr>
          <w:bCs/>
          <w:lang w:val="en-GB"/>
        </w:rPr>
        <w:t>00-m buffer: r=-0.5</w:t>
      </w:r>
      <w:r w:rsidR="007E0848" w:rsidRPr="001F2AD8">
        <w:rPr>
          <w:bCs/>
          <w:lang w:val="en-GB"/>
        </w:rPr>
        <w:t>6</w:t>
      </w:r>
      <w:r w:rsidR="00250478" w:rsidRPr="001F2AD8">
        <w:rPr>
          <w:bCs/>
          <w:lang w:val="en-GB"/>
        </w:rPr>
        <w:t>)</w:t>
      </w:r>
      <w:r w:rsidR="00E404BE" w:rsidRPr="003C6A66">
        <w:rPr>
          <w:bCs/>
          <w:lang w:val="en-GB"/>
        </w:rPr>
        <w:t xml:space="preserve"> and weakest for surrounding green areas.</w:t>
      </w:r>
    </w:p>
    <w:p w14:paraId="74DC3133" w14:textId="6CD2D599" w:rsidR="0027773E" w:rsidRDefault="00C82671" w:rsidP="00801558">
      <w:pPr>
        <w:spacing w:line="276" w:lineRule="auto"/>
        <w:jc w:val="both"/>
        <w:rPr>
          <w:bCs/>
          <w:lang w:val="en-GB"/>
        </w:rPr>
      </w:pPr>
      <w:r w:rsidRPr="003C6A66">
        <w:rPr>
          <w:bCs/>
          <w:lang w:val="en-GB"/>
        </w:rPr>
        <w:t>The associations (HR and 95%</w:t>
      </w:r>
      <w:r w:rsidR="00883613" w:rsidRPr="003C6A66">
        <w:rPr>
          <w:bCs/>
          <w:lang w:val="en-GB"/>
        </w:rPr>
        <w:t>CI) between residential green spaces and site-specific cancer mortality are shown in Figure 1 and fully reported in Table S2.</w:t>
      </w:r>
      <w:r w:rsidR="007675AA" w:rsidRPr="003C6A66">
        <w:rPr>
          <w:bCs/>
          <w:lang w:val="en-GB"/>
        </w:rPr>
        <w:t xml:space="preserve"> </w:t>
      </w:r>
      <w:r w:rsidR="00D83A89" w:rsidRPr="003C6A66">
        <w:rPr>
          <w:bCs/>
          <w:lang w:val="en-GB"/>
        </w:rPr>
        <w:t>In the total population</w:t>
      </w:r>
      <w:r w:rsidR="00F57CAB">
        <w:rPr>
          <w:bCs/>
          <w:lang w:val="en-GB"/>
        </w:rPr>
        <w:t>,</w:t>
      </w:r>
      <w:r w:rsidR="00D83A89" w:rsidRPr="003C6A66">
        <w:rPr>
          <w:bCs/>
          <w:lang w:val="en-GB"/>
        </w:rPr>
        <w:t xml:space="preserve"> we</w:t>
      </w:r>
      <w:r w:rsidR="007E374E" w:rsidRPr="003C6A66">
        <w:rPr>
          <w:bCs/>
          <w:lang w:val="en-GB"/>
        </w:rPr>
        <w:t xml:space="preserve"> observed </w:t>
      </w:r>
      <w:r w:rsidR="00335FFF" w:rsidRPr="003C6A66">
        <w:rPr>
          <w:bCs/>
          <w:lang w:val="en-GB"/>
        </w:rPr>
        <w:t>a</w:t>
      </w:r>
      <w:r w:rsidR="00FB2CE1">
        <w:rPr>
          <w:bCs/>
          <w:lang w:val="en-GB"/>
        </w:rPr>
        <w:t>n</w:t>
      </w:r>
      <w:r w:rsidR="00364BE4" w:rsidRPr="003C6A66">
        <w:rPr>
          <w:bCs/>
          <w:lang w:val="en-GB"/>
        </w:rPr>
        <w:t xml:space="preserve"> </w:t>
      </w:r>
      <w:r w:rsidR="00FB2CE1">
        <w:rPr>
          <w:bCs/>
          <w:lang w:val="en-GB"/>
        </w:rPr>
        <w:t>inverse</w:t>
      </w:r>
      <w:r w:rsidR="00FB2CE1" w:rsidRPr="003C6A66">
        <w:rPr>
          <w:bCs/>
          <w:lang w:val="en-GB"/>
        </w:rPr>
        <w:t xml:space="preserve"> </w:t>
      </w:r>
      <w:r w:rsidR="00335FFF" w:rsidRPr="003C6A66">
        <w:rPr>
          <w:bCs/>
          <w:lang w:val="en-GB"/>
        </w:rPr>
        <w:t xml:space="preserve">association </w:t>
      </w:r>
      <w:r w:rsidR="00D83A89" w:rsidRPr="003C6A66">
        <w:rPr>
          <w:bCs/>
          <w:lang w:val="en-GB"/>
        </w:rPr>
        <w:t>between</w:t>
      </w:r>
      <w:r w:rsidR="00335FFF" w:rsidRPr="003C6A66">
        <w:rPr>
          <w:bCs/>
          <w:lang w:val="en-GB"/>
        </w:rPr>
        <w:t xml:space="preserve"> residi</w:t>
      </w:r>
      <w:r w:rsidR="00303BA2">
        <w:rPr>
          <w:bCs/>
          <w:lang w:val="en-GB"/>
        </w:rPr>
        <w:t>ng in</w:t>
      </w:r>
      <w:r w:rsidR="00335FFF" w:rsidRPr="003C6A66">
        <w:rPr>
          <w:bCs/>
          <w:lang w:val="en-GB"/>
        </w:rPr>
        <w:t xml:space="preserve"> green</w:t>
      </w:r>
      <w:r w:rsidR="00303BA2">
        <w:rPr>
          <w:bCs/>
          <w:lang w:val="en-GB"/>
        </w:rPr>
        <w:t>er</w:t>
      </w:r>
      <w:r w:rsidR="00335FFF" w:rsidRPr="003C6A66">
        <w:rPr>
          <w:bCs/>
          <w:lang w:val="en-GB"/>
        </w:rPr>
        <w:t xml:space="preserve"> </w:t>
      </w:r>
      <w:r w:rsidR="00303BA2">
        <w:rPr>
          <w:bCs/>
          <w:lang w:val="en-GB"/>
        </w:rPr>
        <w:t>areas</w:t>
      </w:r>
      <w:r w:rsidR="00335FFF" w:rsidRPr="003C6A66">
        <w:rPr>
          <w:bCs/>
          <w:lang w:val="en-GB"/>
        </w:rPr>
        <w:t xml:space="preserve"> </w:t>
      </w:r>
      <w:r w:rsidR="00D83A89" w:rsidRPr="003C6A66">
        <w:rPr>
          <w:bCs/>
          <w:lang w:val="en-GB"/>
        </w:rPr>
        <w:t xml:space="preserve">and lung cancer mortality </w:t>
      </w:r>
      <w:r w:rsidR="007E374E" w:rsidRPr="003C6A66">
        <w:rPr>
          <w:bCs/>
          <w:lang w:val="en-GB"/>
        </w:rPr>
        <w:t>after full adjustment</w:t>
      </w:r>
      <w:r w:rsidR="003F754B">
        <w:rPr>
          <w:bCs/>
          <w:lang w:val="en-GB"/>
        </w:rPr>
        <w:t>;</w:t>
      </w:r>
      <w:r w:rsidR="00335FFF" w:rsidRPr="003C6A66">
        <w:rPr>
          <w:bCs/>
          <w:lang w:val="en-GB"/>
        </w:rPr>
        <w:t xml:space="preserve"> the strongest</w:t>
      </w:r>
      <w:r w:rsidR="00875C4D" w:rsidRPr="003C6A66">
        <w:rPr>
          <w:bCs/>
          <w:lang w:val="en-GB"/>
        </w:rPr>
        <w:t xml:space="preserve"> </w:t>
      </w:r>
      <w:r w:rsidR="00335FFF" w:rsidRPr="003C6A66">
        <w:rPr>
          <w:bCs/>
          <w:lang w:val="en-GB"/>
        </w:rPr>
        <w:t xml:space="preserve">association </w:t>
      </w:r>
      <w:r w:rsidR="00356122">
        <w:rPr>
          <w:bCs/>
          <w:lang w:val="en-GB"/>
        </w:rPr>
        <w:t>was</w:t>
      </w:r>
      <w:r w:rsidR="00356122" w:rsidRPr="003C6A66">
        <w:rPr>
          <w:bCs/>
          <w:lang w:val="en-GB"/>
        </w:rPr>
        <w:t xml:space="preserve"> </w:t>
      </w:r>
      <w:r w:rsidR="00335FFF" w:rsidRPr="003C6A66">
        <w:rPr>
          <w:bCs/>
          <w:lang w:val="en-GB"/>
        </w:rPr>
        <w:t xml:space="preserve">observed </w:t>
      </w:r>
      <w:r w:rsidR="00FC5D98" w:rsidRPr="003C6A66">
        <w:rPr>
          <w:bCs/>
          <w:lang w:val="en-GB"/>
        </w:rPr>
        <w:t>for</w:t>
      </w:r>
      <w:r w:rsidR="00335FFF" w:rsidRPr="003C6A66">
        <w:rPr>
          <w:bCs/>
          <w:lang w:val="en-GB"/>
        </w:rPr>
        <w:t xml:space="preserve"> </w:t>
      </w:r>
      <w:r w:rsidR="00303BA2">
        <w:rPr>
          <w:bCs/>
          <w:lang w:val="en-GB"/>
        </w:rPr>
        <w:t>perceived neighbourhood</w:t>
      </w:r>
      <w:r w:rsidR="00335FFF" w:rsidRPr="003C6A66">
        <w:rPr>
          <w:bCs/>
          <w:lang w:val="en-GB"/>
        </w:rPr>
        <w:t xml:space="preserve"> greenness (</w:t>
      </w:r>
      <w:r w:rsidR="004C6D56">
        <w:rPr>
          <w:bCs/>
          <w:lang w:val="en-GB"/>
        </w:rPr>
        <w:t xml:space="preserve">HR </w:t>
      </w:r>
      <w:r w:rsidR="004C6D56" w:rsidRPr="004C6D56">
        <w:rPr>
          <w:bCs/>
          <w:lang w:val="en-GB"/>
        </w:rPr>
        <w:t>0.94</w:t>
      </w:r>
      <w:r w:rsidR="004C6D56">
        <w:rPr>
          <w:bCs/>
          <w:lang w:val="en-GB"/>
        </w:rPr>
        <w:t xml:space="preserve">, 95%CI: </w:t>
      </w:r>
      <w:r w:rsidR="004C6D56" w:rsidRPr="004C6D56">
        <w:rPr>
          <w:bCs/>
          <w:lang w:val="en-GB"/>
        </w:rPr>
        <w:t>0.92, 0.9</w:t>
      </w:r>
      <w:r w:rsidR="004C6D56">
        <w:rPr>
          <w:bCs/>
          <w:lang w:val="en-GB"/>
        </w:rPr>
        <w:t>6</w:t>
      </w:r>
      <w:r w:rsidR="00335FFF" w:rsidRPr="003C6A66">
        <w:rPr>
          <w:bCs/>
          <w:lang w:val="en-GB"/>
        </w:rPr>
        <w:t>).</w:t>
      </w:r>
      <w:r w:rsidR="002F7845" w:rsidRPr="003C6A66">
        <w:rPr>
          <w:bCs/>
          <w:lang w:val="en-GB"/>
        </w:rPr>
        <w:t xml:space="preserve"> </w:t>
      </w:r>
      <w:r w:rsidR="00577B84">
        <w:rPr>
          <w:bCs/>
          <w:lang w:val="en-GB"/>
        </w:rPr>
        <w:t>B</w:t>
      </w:r>
      <w:r w:rsidR="000C703F" w:rsidRPr="003C6A66">
        <w:rPr>
          <w:bCs/>
          <w:lang w:val="en-GB"/>
        </w:rPr>
        <w:t>y</w:t>
      </w:r>
      <w:r w:rsidR="00F61B86" w:rsidRPr="003C6A66">
        <w:rPr>
          <w:bCs/>
          <w:lang w:val="en-GB"/>
        </w:rPr>
        <w:t xml:space="preserve"> gender</w:t>
      </w:r>
      <w:r w:rsidR="00577B84">
        <w:rPr>
          <w:bCs/>
          <w:lang w:val="en-GB"/>
        </w:rPr>
        <w:t>,</w:t>
      </w:r>
      <w:r w:rsidR="00F61B86" w:rsidRPr="003C6A66">
        <w:rPr>
          <w:bCs/>
          <w:lang w:val="en-GB"/>
        </w:rPr>
        <w:t xml:space="preserve"> </w:t>
      </w:r>
      <w:r w:rsidR="00CE3E90">
        <w:rPr>
          <w:bCs/>
          <w:lang w:val="en-GB"/>
        </w:rPr>
        <w:t>we observed</w:t>
      </w:r>
      <w:r w:rsidR="009E3437">
        <w:rPr>
          <w:bCs/>
          <w:lang w:val="en-GB"/>
        </w:rPr>
        <w:t xml:space="preserve"> that the </w:t>
      </w:r>
      <w:r w:rsidR="00CE3E90">
        <w:rPr>
          <w:bCs/>
          <w:lang w:val="en-GB"/>
        </w:rPr>
        <w:t>associations</w:t>
      </w:r>
      <w:r w:rsidR="008D718E" w:rsidRPr="003C6A66">
        <w:rPr>
          <w:bCs/>
          <w:lang w:val="en-GB"/>
        </w:rPr>
        <w:t xml:space="preserve"> </w:t>
      </w:r>
      <w:r w:rsidR="00CE3E90">
        <w:rPr>
          <w:bCs/>
          <w:lang w:val="en-GB"/>
        </w:rPr>
        <w:t>with</w:t>
      </w:r>
      <w:r w:rsidR="008D718E" w:rsidRPr="003C6A66">
        <w:rPr>
          <w:bCs/>
          <w:lang w:val="en-GB"/>
        </w:rPr>
        <w:t xml:space="preserve"> perceived </w:t>
      </w:r>
      <w:r w:rsidR="0049337B" w:rsidRPr="003C6A66">
        <w:rPr>
          <w:bCs/>
          <w:lang w:val="en-GB"/>
        </w:rPr>
        <w:t>neighbourhood</w:t>
      </w:r>
      <w:r w:rsidR="008D718E" w:rsidRPr="003C6A66">
        <w:rPr>
          <w:bCs/>
          <w:lang w:val="en-GB"/>
        </w:rPr>
        <w:t xml:space="preserve"> greenness </w:t>
      </w:r>
      <w:r w:rsidR="009E3437">
        <w:rPr>
          <w:bCs/>
          <w:lang w:val="en-GB"/>
        </w:rPr>
        <w:t xml:space="preserve">were inverse and significant </w:t>
      </w:r>
      <w:r w:rsidR="003F754B">
        <w:rPr>
          <w:bCs/>
          <w:lang w:val="en-GB"/>
        </w:rPr>
        <w:t xml:space="preserve">for men only </w:t>
      </w:r>
      <w:r w:rsidR="008D718E" w:rsidRPr="003C6A66">
        <w:rPr>
          <w:bCs/>
          <w:lang w:val="en-GB"/>
        </w:rPr>
        <w:t>(</w:t>
      </w:r>
      <w:r w:rsidR="00443BAF" w:rsidRPr="003C6A66">
        <w:rPr>
          <w:bCs/>
          <w:lang w:val="en-GB"/>
        </w:rPr>
        <w:t xml:space="preserve">M3: </w:t>
      </w:r>
      <w:r w:rsidR="008D718E" w:rsidRPr="003C6A66">
        <w:rPr>
          <w:bCs/>
          <w:lang w:val="en-GB"/>
        </w:rPr>
        <w:t>HR</w:t>
      </w:r>
      <w:r w:rsidR="00363957" w:rsidRPr="003C6A66">
        <w:rPr>
          <w:bCs/>
          <w:lang w:val="en-GB"/>
        </w:rPr>
        <w:t xml:space="preserve"> 0.90</w:t>
      </w:r>
      <w:r w:rsidR="00B97829" w:rsidRPr="003C6A66">
        <w:rPr>
          <w:bCs/>
          <w:lang w:val="en-GB"/>
        </w:rPr>
        <w:t>,</w:t>
      </w:r>
      <w:r w:rsidR="00363957" w:rsidRPr="003C6A66">
        <w:rPr>
          <w:bCs/>
          <w:lang w:val="en-GB"/>
        </w:rPr>
        <w:t xml:space="preserve"> 95%CI: 0.88, 0.92)</w:t>
      </w:r>
      <w:r w:rsidR="00E272B8">
        <w:rPr>
          <w:bCs/>
          <w:lang w:val="en-GB"/>
        </w:rPr>
        <w:t xml:space="preserve">, </w:t>
      </w:r>
      <w:r w:rsidR="0068559B">
        <w:rPr>
          <w:bCs/>
          <w:lang w:val="en-GB"/>
        </w:rPr>
        <w:t xml:space="preserve">whereas for women the associations were only </w:t>
      </w:r>
      <w:r w:rsidR="00E272B8">
        <w:rPr>
          <w:bCs/>
          <w:lang w:val="en-GB"/>
        </w:rPr>
        <w:t xml:space="preserve">beneficial with </w:t>
      </w:r>
      <w:r w:rsidR="0068068E" w:rsidRPr="003C6A66">
        <w:rPr>
          <w:bCs/>
          <w:lang w:val="en-GB"/>
        </w:rPr>
        <w:t xml:space="preserve">surrounding </w:t>
      </w:r>
      <w:r w:rsidR="00E272B8">
        <w:rPr>
          <w:bCs/>
          <w:lang w:val="en-GB"/>
        </w:rPr>
        <w:t xml:space="preserve">green spaces </w:t>
      </w:r>
      <w:r w:rsidR="00F821DF" w:rsidRPr="003C6A66">
        <w:rPr>
          <w:bCs/>
          <w:lang w:val="en-GB"/>
        </w:rPr>
        <w:t xml:space="preserve">(e.g., </w:t>
      </w:r>
      <w:r w:rsidR="00625477" w:rsidRPr="003C6A66">
        <w:rPr>
          <w:bCs/>
          <w:lang w:val="en-GB"/>
        </w:rPr>
        <w:t xml:space="preserve">for </w:t>
      </w:r>
      <w:r w:rsidR="0068559B">
        <w:rPr>
          <w:bCs/>
          <w:lang w:val="en-GB"/>
        </w:rPr>
        <w:t>surrounding greenness</w:t>
      </w:r>
      <w:r w:rsidR="00625477" w:rsidRPr="003C6A66">
        <w:rPr>
          <w:bCs/>
          <w:lang w:val="en-GB"/>
        </w:rPr>
        <w:t xml:space="preserve">: </w:t>
      </w:r>
      <w:r w:rsidR="00AF4A5E" w:rsidRPr="001F2AD8">
        <w:rPr>
          <w:bCs/>
          <w:color w:val="000000"/>
          <w:lang w:val="en-GB"/>
        </w:rPr>
        <w:t>HR 0.91, 95%CI: 0.87, 0.96</w:t>
      </w:r>
      <w:r w:rsidR="00625477" w:rsidRPr="001F2AD8">
        <w:rPr>
          <w:bCs/>
          <w:lang w:val="en-GB"/>
        </w:rPr>
        <w:t>)</w:t>
      </w:r>
      <w:r w:rsidR="009459C4" w:rsidRPr="003C6A66">
        <w:rPr>
          <w:bCs/>
          <w:lang w:val="en-GB"/>
        </w:rPr>
        <w:t>.</w:t>
      </w:r>
      <w:r w:rsidR="00E64513">
        <w:rPr>
          <w:bCs/>
          <w:lang w:val="en-GB"/>
        </w:rPr>
        <w:t xml:space="preserve"> The results </w:t>
      </w:r>
      <w:r w:rsidR="002F3971">
        <w:rPr>
          <w:bCs/>
          <w:lang w:val="en-GB"/>
        </w:rPr>
        <w:t xml:space="preserve">for </w:t>
      </w:r>
      <w:r w:rsidR="00E64513">
        <w:rPr>
          <w:bCs/>
          <w:lang w:val="en-GB"/>
        </w:rPr>
        <w:t>lung cancer mortality</w:t>
      </w:r>
      <w:r w:rsidR="00DE219D">
        <w:rPr>
          <w:bCs/>
          <w:lang w:val="en-GB"/>
        </w:rPr>
        <w:t xml:space="preserve"> in the total population</w:t>
      </w:r>
      <w:r w:rsidR="00E64513">
        <w:rPr>
          <w:bCs/>
          <w:lang w:val="en-GB"/>
        </w:rPr>
        <w:t xml:space="preserve"> using the </w:t>
      </w:r>
      <w:r w:rsidR="004D1AB3">
        <w:rPr>
          <w:bCs/>
          <w:lang w:val="en-GB"/>
        </w:rPr>
        <w:t>exposure indicators categorised into quintiles are shown in Table S</w:t>
      </w:r>
      <w:r w:rsidR="001051D1">
        <w:rPr>
          <w:bCs/>
          <w:lang w:val="en-GB"/>
        </w:rPr>
        <w:t>3.</w:t>
      </w:r>
      <w:r w:rsidR="00935530">
        <w:rPr>
          <w:bCs/>
          <w:lang w:val="en-GB"/>
        </w:rPr>
        <w:t xml:space="preserve"> We observed </w:t>
      </w:r>
      <w:r w:rsidR="000B0E7B">
        <w:rPr>
          <w:bCs/>
          <w:lang w:val="en-GB"/>
        </w:rPr>
        <w:t>s</w:t>
      </w:r>
      <w:r w:rsidR="00935530">
        <w:rPr>
          <w:bCs/>
          <w:lang w:val="en-GB"/>
        </w:rPr>
        <w:t xml:space="preserve">light deviations from linearity, </w:t>
      </w:r>
      <w:r w:rsidR="000B0E7B">
        <w:rPr>
          <w:bCs/>
          <w:lang w:val="en-GB"/>
        </w:rPr>
        <w:t>more evident for</w:t>
      </w:r>
      <w:r w:rsidR="004D222E">
        <w:rPr>
          <w:bCs/>
          <w:lang w:val="en-GB"/>
        </w:rPr>
        <w:t xml:space="preserve"> surrounding greenness in the two highest quintiles of exposure (Q4 and Q5),</w:t>
      </w:r>
      <w:r w:rsidR="00960EB1">
        <w:rPr>
          <w:bCs/>
          <w:lang w:val="en-GB"/>
        </w:rPr>
        <w:t xml:space="preserve"> </w:t>
      </w:r>
      <w:r w:rsidR="00443F39">
        <w:rPr>
          <w:bCs/>
          <w:lang w:val="en-GB"/>
        </w:rPr>
        <w:t>for</w:t>
      </w:r>
      <w:r w:rsidR="004D222E">
        <w:rPr>
          <w:bCs/>
          <w:lang w:val="en-GB"/>
        </w:rPr>
        <w:t xml:space="preserve"> which </w:t>
      </w:r>
      <w:r w:rsidR="00443F39">
        <w:rPr>
          <w:bCs/>
          <w:lang w:val="en-GB"/>
        </w:rPr>
        <w:t>the</w:t>
      </w:r>
      <w:r w:rsidR="00576E2A">
        <w:rPr>
          <w:bCs/>
          <w:lang w:val="en-GB"/>
        </w:rPr>
        <w:t xml:space="preserve"> observed </w:t>
      </w:r>
      <w:r w:rsidR="00960EB1">
        <w:rPr>
          <w:bCs/>
          <w:lang w:val="en-GB"/>
        </w:rPr>
        <w:t xml:space="preserve">effect </w:t>
      </w:r>
      <w:r w:rsidR="003834EB">
        <w:rPr>
          <w:bCs/>
          <w:lang w:val="en-GB"/>
        </w:rPr>
        <w:t xml:space="preserve">magnitude </w:t>
      </w:r>
      <w:r w:rsidR="00576E2A">
        <w:rPr>
          <w:bCs/>
          <w:lang w:val="en-GB"/>
        </w:rPr>
        <w:t>was the same</w:t>
      </w:r>
      <w:r w:rsidR="00960EB1">
        <w:rPr>
          <w:bCs/>
          <w:lang w:val="en-GB"/>
        </w:rPr>
        <w:t>.</w:t>
      </w:r>
      <w:r w:rsidR="00872ABE">
        <w:rPr>
          <w:bCs/>
          <w:lang w:val="en-GB"/>
        </w:rPr>
        <w:t xml:space="preserve"> Hence, we </w:t>
      </w:r>
      <w:r w:rsidR="00891E50">
        <w:rPr>
          <w:bCs/>
          <w:lang w:val="en-GB"/>
        </w:rPr>
        <w:t>decided to continue performing the analyses with the linear exposure term.</w:t>
      </w:r>
      <w:r w:rsidR="00960EB1">
        <w:rPr>
          <w:bCs/>
          <w:lang w:val="en-GB"/>
        </w:rPr>
        <w:t xml:space="preserve"> </w:t>
      </w:r>
      <w:r w:rsidR="0048569B">
        <w:rPr>
          <w:bCs/>
          <w:lang w:val="en-GB"/>
        </w:rPr>
        <w:t xml:space="preserve">For </w:t>
      </w:r>
      <w:r w:rsidR="0048569B" w:rsidRPr="003C6A66">
        <w:rPr>
          <w:bCs/>
          <w:lang w:val="en-GB"/>
        </w:rPr>
        <w:t>colorectal cancer mortality</w:t>
      </w:r>
      <w:r w:rsidR="0048569B">
        <w:rPr>
          <w:bCs/>
          <w:lang w:val="en-GB"/>
        </w:rPr>
        <w:t>,</w:t>
      </w:r>
      <w:r w:rsidR="00C53946" w:rsidRPr="00C53946">
        <w:rPr>
          <w:bCs/>
          <w:lang w:val="en-GB"/>
        </w:rPr>
        <w:t xml:space="preserve"> </w:t>
      </w:r>
      <w:r w:rsidR="00C53946">
        <w:rPr>
          <w:bCs/>
          <w:lang w:val="en-GB"/>
        </w:rPr>
        <w:t>analyses i</w:t>
      </w:r>
      <w:r w:rsidR="00C53946" w:rsidRPr="003C6A66">
        <w:rPr>
          <w:bCs/>
          <w:lang w:val="en-GB"/>
        </w:rPr>
        <w:t>n the total population and by gender</w:t>
      </w:r>
      <w:r w:rsidR="00C53946">
        <w:rPr>
          <w:bCs/>
          <w:lang w:val="en-GB"/>
        </w:rPr>
        <w:t xml:space="preserve"> showed </w:t>
      </w:r>
      <w:r w:rsidR="00912F3F" w:rsidRPr="003C6A66">
        <w:rPr>
          <w:bCs/>
          <w:lang w:val="en-GB"/>
        </w:rPr>
        <w:t>inverse</w:t>
      </w:r>
      <w:r w:rsidR="00044FCA">
        <w:rPr>
          <w:bCs/>
          <w:lang w:val="en-GB"/>
        </w:rPr>
        <w:t xml:space="preserve"> associations</w:t>
      </w:r>
      <w:r w:rsidR="00912F3F" w:rsidRPr="003C6A66">
        <w:rPr>
          <w:bCs/>
          <w:lang w:val="en-GB"/>
        </w:rPr>
        <w:t>, but</w:t>
      </w:r>
      <w:r w:rsidR="004946D7" w:rsidRPr="003C6A66">
        <w:rPr>
          <w:bCs/>
          <w:lang w:val="en-GB"/>
        </w:rPr>
        <w:t xml:space="preserve"> </w:t>
      </w:r>
      <w:r w:rsidR="00B330D4" w:rsidRPr="003C6A66">
        <w:rPr>
          <w:bCs/>
          <w:lang w:val="en-GB"/>
        </w:rPr>
        <w:t>close to</w:t>
      </w:r>
      <w:r w:rsidR="00D123FE" w:rsidRPr="003C6A66">
        <w:rPr>
          <w:bCs/>
          <w:lang w:val="en-GB"/>
        </w:rPr>
        <w:t xml:space="preserve"> </w:t>
      </w:r>
      <w:r w:rsidR="002232C5">
        <w:rPr>
          <w:bCs/>
          <w:lang w:val="en-GB"/>
        </w:rPr>
        <w:t>null</w:t>
      </w:r>
      <w:r w:rsidR="00912F3F" w:rsidRPr="003C6A66">
        <w:rPr>
          <w:bCs/>
          <w:lang w:val="en-GB"/>
        </w:rPr>
        <w:t xml:space="preserve"> and no</w:t>
      </w:r>
      <w:r w:rsidR="003F754B">
        <w:rPr>
          <w:bCs/>
          <w:lang w:val="en-GB"/>
        </w:rPr>
        <w:t>n-</w:t>
      </w:r>
      <w:r w:rsidR="00912F3F" w:rsidRPr="003C6A66">
        <w:rPr>
          <w:bCs/>
          <w:lang w:val="en-GB"/>
        </w:rPr>
        <w:t xml:space="preserve">significant </w:t>
      </w:r>
      <w:r w:rsidR="009C2BF5" w:rsidRPr="003C6A66">
        <w:rPr>
          <w:bCs/>
          <w:lang w:val="en-GB"/>
        </w:rPr>
        <w:t>after full adjustment.</w:t>
      </w:r>
      <w:r w:rsidR="002C76F1" w:rsidRPr="003C6A66">
        <w:rPr>
          <w:bCs/>
          <w:lang w:val="en-GB"/>
        </w:rPr>
        <w:t xml:space="preserve"> The association</w:t>
      </w:r>
      <w:r w:rsidR="005C78E3" w:rsidRPr="003C6A66">
        <w:rPr>
          <w:bCs/>
          <w:lang w:val="en-GB"/>
        </w:rPr>
        <w:t>s</w:t>
      </w:r>
      <w:r w:rsidR="002C76F1" w:rsidRPr="003C6A66">
        <w:rPr>
          <w:bCs/>
          <w:lang w:val="en-GB"/>
        </w:rPr>
        <w:t xml:space="preserve"> with breast cancer mortality </w:t>
      </w:r>
      <w:r w:rsidR="005C78E3" w:rsidRPr="003C6A66">
        <w:rPr>
          <w:bCs/>
          <w:lang w:val="en-GB"/>
        </w:rPr>
        <w:t>were</w:t>
      </w:r>
      <w:r w:rsidR="0050470E" w:rsidRPr="003C6A66">
        <w:rPr>
          <w:bCs/>
          <w:lang w:val="en-GB"/>
        </w:rPr>
        <w:t xml:space="preserve"> </w:t>
      </w:r>
      <w:r w:rsidR="0068673C" w:rsidRPr="003C6A66">
        <w:rPr>
          <w:bCs/>
          <w:lang w:val="en-GB"/>
        </w:rPr>
        <w:t>protective</w:t>
      </w:r>
      <w:r w:rsidR="0050470E" w:rsidRPr="003C6A66">
        <w:rPr>
          <w:bCs/>
          <w:lang w:val="en-GB"/>
        </w:rPr>
        <w:t xml:space="preserve"> and significant for surrounding greenness and surrounding green spaces (</w:t>
      </w:r>
      <w:r w:rsidR="007C44E9" w:rsidRPr="003C6A66">
        <w:rPr>
          <w:bCs/>
          <w:lang w:val="en-GB"/>
        </w:rPr>
        <w:t xml:space="preserve">e.g., for </w:t>
      </w:r>
      <w:r w:rsidR="0050470E" w:rsidRPr="001F2AD8">
        <w:rPr>
          <w:bCs/>
          <w:lang w:val="en-GB"/>
        </w:rPr>
        <w:t>M3:</w:t>
      </w:r>
      <w:r w:rsidR="005F1F94" w:rsidRPr="001F2AD8">
        <w:rPr>
          <w:bCs/>
          <w:lang w:val="en-GB"/>
        </w:rPr>
        <w:t xml:space="preserve"> HR 0.9</w:t>
      </w:r>
      <w:r w:rsidR="0040158E" w:rsidRPr="001F2AD8">
        <w:rPr>
          <w:bCs/>
          <w:lang w:val="en-GB"/>
        </w:rPr>
        <w:t>3</w:t>
      </w:r>
      <w:r w:rsidR="005F1F94" w:rsidRPr="001F2AD8">
        <w:rPr>
          <w:bCs/>
          <w:lang w:val="en-GB"/>
        </w:rPr>
        <w:t>, 95%CI: 0.89, 0.96; H</w:t>
      </w:r>
      <w:r w:rsidR="0050470E" w:rsidRPr="001F2AD8">
        <w:rPr>
          <w:bCs/>
          <w:lang w:val="en-GB"/>
        </w:rPr>
        <w:t>R</w:t>
      </w:r>
      <w:r w:rsidR="007C44E9" w:rsidRPr="001F2AD8">
        <w:rPr>
          <w:bCs/>
          <w:lang w:val="en-GB"/>
        </w:rPr>
        <w:t xml:space="preserve"> 0.9</w:t>
      </w:r>
      <w:r w:rsidR="0040158E" w:rsidRPr="001F2AD8">
        <w:rPr>
          <w:bCs/>
          <w:lang w:val="en-GB"/>
        </w:rPr>
        <w:t>5</w:t>
      </w:r>
      <w:r w:rsidR="007C44E9" w:rsidRPr="001F2AD8">
        <w:rPr>
          <w:bCs/>
          <w:lang w:val="en-GB"/>
        </w:rPr>
        <w:t>, 95%CI:</w:t>
      </w:r>
      <w:r w:rsidR="00912F3F" w:rsidRPr="001F2AD8">
        <w:rPr>
          <w:bCs/>
          <w:lang w:val="en-GB"/>
        </w:rPr>
        <w:t xml:space="preserve"> </w:t>
      </w:r>
      <w:r w:rsidR="005F1F94" w:rsidRPr="001F2AD8">
        <w:rPr>
          <w:bCs/>
          <w:lang w:val="en-GB"/>
        </w:rPr>
        <w:t>0.9</w:t>
      </w:r>
      <w:r w:rsidR="00C15123" w:rsidRPr="001F2AD8">
        <w:rPr>
          <w:bCs/>
          <w:lang w:val="en-GB"/>
        </w:rPr>
        <w:t>3</w:t>
      </w:r>
      <w:r w:rsidR="005F1F94" w:rsidRPr="001F2AD8">
        <w:rPr>
          <w:bCs/>
          <w:lang w:val="en-GB"/>
        </w:rPr>
        <w:t>, 0.9</w:t>
      </w:r>
      <w:r w:rsidR="00C15123" w:rsidRPr="001F2AD8">
        <w:rPr>
          <w:bCs/>
          <w:lang w:val="en-GB"/>
        </w:rPr>
        <w:t>9</w:t>
      </w:r>
      <w:r w:rsidR="005F1F94" w:rsidRPr="001F2AD8">
        <w:rPr>
          <w:bCs/>
          <w:lang w:val="en-GB"/>
        </w:rPr>
        <w:t>, respectively</w:t>
      </w:r>
      <w:r w:rsidR="005F1F94" w:rsidRPr="003C6A66">
        <w:rPr>
          <w:bCs/>
          <w:lang w:val="en-GB"/>
        </w:rPr>
        <w:t>)</w:t>
      </w:r>
      <w:r w:rsidR="00A702DF" w:rsidRPr="003C6A66">
        <w:rPr>
          <w:bCs/>
          <w:lang w:val="en-GB"/>
        </w:rPr>
        <w:t xml:space="preserve">, </w:t>
      </w:r>
      <w:r w:rsidR="00E5637F" w:rsidRPr="003C6A66">
        <w:rPr>
          <w:bCs/>
          <w:lang w:val="en-GB"/>
        </w:rPr>
        <w:t>but</w:t>
      </w:r>
      <w:r w:rsidR="009107F6">
        <w:rPr>
          <w:bCs/>
          <w:lang w:val="en-GB"/>
        </w:rPr>
        <w:t xml:space="preserve"> </w:t>
      </w:r>
      <w:r w:rsidR="007347C5">
        <w:rPr>
          <w:bCs/>
          <w:lang w:val="en-GB"/>
        </w:rPr>
        <w:t>not significant</w:t>
      </w:r>
      <w:r w:rsidR="00A702DF" w:rsidRPr="003C6A66">
        <w:rPr>
          <w:bCs/>
          <w:lang w:val="en-GB"/>
        </w:rPr>
        <w:t xml:space="preserve"> for perceived </w:t>
      </w:r>
      <w:r w:rsidR="0049337B" w:rsidRPr="003C6A66">
        <w:rPr>
          <w:bCs/>
          <w:lang w:val="en-GB"/>
        </w:rPr>
        <w:t>neighbourhood</w:t>
      </w:r>
      <w:r w:rsidR="00A702DF" w:rsidRPr="003C6A66">
        <w:rPr>
          <w:bCs/>
          <w:lang w:val="en-GB"/>
        </w:rPr>
        <w:t xml:space="preserve"> greenness</w:t>
      </w:r>
      <w:r w:rsidR="005F1F94" w:rsidRPr="003C6A66">
        <w:rPr>
          <w:bCs/>
          <w:lang w:val="en-GB"/>
        </w:rPr>
        <w:t>.</w:t>
      </w:r>
      <w:r w:rsidR="00B24EA0" w:rsidRPr="003C6A66">
        <w:rPr>
          <w:bCs/>
          <w:lang w:val="en-GB"/>
        </w:rPr>
        <w:t xml:space="preserve"> Regarding prostate cancer mortality</w:t>
      </w:r>
      <w:r w:rsidR="007B6AB8" w:rsidRPr="003C6A66">
        <w:rPr>
          <w:bCs/>
          <w:lang w:val="en-GB"/>
        </w:rPr>
        <w:t xml:space="preserve">, we </w:t>
      </w:r>
      <w:r w:rsidR="00E14E53">
        <w:rPr>
          <w:bCs/>
          <w:lang w:val="en-GB"/>
        </w:rPr>
        <w:t>did not observe statistically significant associations with any of the indicators of green spaces</w:t>
      </w:r>
      <w:r w:rsidR="00B77724" w:rsidRPr="003C6A66">
        <w:rPr>
          <w:bCs/>
          <w:lang w:val="en-GB"/>
        </w:rPr>
        <w:t>.</w:t>
      </w:r>
    </w:p>
    <w:p w14:paraId="7344D056" w14:textId="77777777" w:rsidR="00894EF3" w:rsidRDefault="00894EF3" w:rsidP="00801558">
      <w:pPr>
        <w:spacing w:line="276" w:lineRule="auto"/>
        <w:jc w:val="both"/>
        <w:rPr>
          <w:bCs/>
          <w:lang w:val="en-GB"/>
        </w:rPr>
      </w:pPr>
    </w:p>
    <w:p w14:paraId="1D0F1C7D" w14:textId="79E3DDFF" w:rsidR="00894EF3" w:rsidRDefault="00F03DA5" w:rsidP="00894EF3">
      <w:pPr>
        <w:spacing w:line="276" w:lineRule="auto"/>
        <w:jc w:val="both"/>
        <w:rPr>
          <w:b/>
          <w:lang w:val="en-US"/>
        </w:rPr>
      </w:pPr>
      <w:r>
        <w:rPr>
          <w:b/>
          <w:noProof/>
          <w:lang w:val="en-US"/>
        </w:rPr>
        <w:lastRenderedPageBreak/>
        <w:drawing>
          <wp:inline distT="0" distB="0" distL="0" distR="0" wp14:anchorId="35C86D08" wp14:editId="34240698">
            <wp:extent cx="5731510" cy="4967605"/>
            <wp:effectExtent l="12700" t="12700" r="889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731510" cy="4967605"/>
                    </a:xfrm>
                    <a:prstGeom prst="rect">
                      <a:avLst/>
                    </a:prstGeom>
                    <a:ln>
                      <a:solidFill>
                        <a:schemeClr val="tx1"/>
                      </a:solidFill>
                    </a:ln>
                  </pic:spPr>
                </pic:pic>
              </a:graphicData>
            </a:graphic>
          </wp:inline>
        </w:drawing>
      </w:r>
    </w:p>
    <w:p w14:paraId="7BBB2C3B" w14:textId="77777777" w:rsidR="00F03DA5" w:rsidRDefault="00894EF3" w:rsidP="00801558">
      <w:pPr>
        <w:spacing w:line="276" w:lineRule="auto"/>
        <w:jc w:val="both"/>
        <w:rPr>
          <w:color w:val="000000"/>
          <w:lang w:val="en-GB"/>
        </w:rPr>
      </w:pPr>
      <w:r>
        <w:rPr>
          <w:b/>
          <w:lang w:val="en-US"/>
        </w:rPr>
        <w:t xml:space="preserve">Figure 1. </w:t>
      </w:r>
      <w:r w:rsidR="00E80142" w:rsidRPr="00E80142">
        <w:rPr>
          <w:color w:val="000000"/>
          <w:lang w:val="en-GB"/>
        </w:rPr>
        <w:t>Stepwise adjustment of the associations (HR and 95%CI) between IQR increments in residential green spaces and site-specific cancer mortality. Model 1 (M1) included the baseline hazard and two frailty terms, for the urban areas and for the census tracts within the urban areas; Model 2 (M2) added migrant background, educational level, housing tenure, and household living arrangement; Model 3 (M3) added area-level socioeconomic position (SEP). Surrounding greenness</w:t>
      </w:r>
      <w:r w:rsidR="00E80142" w:rsidRPr="00D22F87">
        <w:rPr>
          <w:i/>
          <w:iCs/>
          <w:color w:val="000000"/>
          <w:lang w:val="en-GB"/>
        </w:rPr>
        <w:t xml:space="preserve"> (</w:t>
      </w:r>
      <w:r w:rsidR="00E80142" w:rsidRPr="001F2AD8">
        <w:rPr>
          <w:color w:val="000000"/>
          <w:lang w:val="en-GB"/>
        </w:rPr>
        <w:t>NDVI, 300 m), interquartile range (IQR): 0.23; surrounding green areas (UA, 300 m), IQR: 0.32; perceived</w:t>
      </w:r>
      <w:r w:rsidR="00E80142" w:rsidRPr="00E80142">
        <w:rPr>
          <w:color w:val="000000"/>
          <w:lang w:val="en-GB"/>
        </w:rPr>
        <w:t xml:space="preserve"> neighbourhood greenness, IQR: 22.8. Five largest Belgian urban areas, 2001-2014.</w:t>
      </w:r>
    </w:p>
    <w:p w14:paraId="0F0D36ED" w14:textId="77777777" w:rsidR="00F03DA5" w:rsidRDefault="00F03DA5" w:rsidP="00801558">
      <w:pPr>
        <w:spacing w:line="276" w:lineRule="auto"/>
        <w:jc w:val="both"/>
        <w:rPr>
          <w:color w:val="000000"/>
          <w:lang w:val="en-GB"/>
        </w:rPr>
      </w:pPr>
    </w:p>
    <w:p w14:paraId="139E5F05" w14:textId="77777777" w:rsidR="00F03DA5" w:rsidRDefault="00F03DA5" w:rsidP="00801558">
      <w:pPr>
        <w:spacing w:line="276" w:lineRule="auto"/>
        <w:jc w:val="both"/>
        <w:rPr>
          <w:color w:val="000000"/>
          <w:lang w:val="en-GB"/>
        </w:rPr>
      </w:pPr>
    </w:p>
    <w:p w14:paraId="2331FFCF" w14:textId="2DCDFF85" w:rsidR="00DA441C" w:rsidRPr="001F2AD8" w:rsidRDefault="00F03DA5" w:rsidP="00801558">
      <w:pPr>
        <w:spacing w:line="276" w:lineRule="auto"/>
        <w:jc w:val="both"/>
        <w:rPr>
          <w:bCs/>
          <w:lang w:val="en-GB"/>
        </w:rPr>
      </w:pPr>
      <w:r>
        <w:rPr>
          <w:color w:val="000000"/>
          <w:lang w:val="en-GB"/>
        </w:rPr>
        <w:t>W</w:t>
      </w:r>
      <w:r w:rsidR="00480978" w:rsidRPr="003C6A66">
        <w:rPr>
          <w:bCs/>
          <w:lang w:val="en-GB"/>
        </w:rPr>
        <w:t xml:space="preserve">e further adjusted our main models for </w:t>
      </w:r>
      <w:r w:rsidR="00416C6A" w:rsidRPr="003C6A66">
        <w:rPr>
          <w:bCs/>
          <w:lang w:val="en-GB"/>
        </w:rPr>
        <w:t>ambient air pollution concentrations (PM</w:t>
      </w:r>
      <w:r w:rsidR="00416C6A" w:rsidRPr="003C6A66">
        <w:rPr>
          <w:bCs/>
          <w:vertAlign w:val="subscript"/>
          <w:lang w:val="en-GB"/>
        </w:rPr>
        <w:t>2.5</w:t>
      </w:r>
      <w:r w:rsidR="00416C6A" w:rsidRPr="003C6A66">
        <w:rPr>
          <w:bCs/>
          <w:lang w:val="en-GB"/>
        </w:rPr>
        <w:t>, PM</w:t>
      </w:r>
      <w:r w:rsidR="00416C6A" w:rsidRPr="003C6A66">
        <w:rPr>
          <w:bCs/>
          <w:vertAlign w:val="subscript"/>
          <w:lang w:val="en-GB"/>
        </w:rPr>
        <w:t>10</w:t>
      </w:r>
      <w:r w:rsidR="00416C6A" w:rsidRPr="003C6A66">
        <w:rPr>
          <w:bCs/>
          <w:lang w:val="en-GB"/>
        </w:rPr>
        <w:t>, NO</w:t>
      </w:r>
      <w:r w:rsidR="00416C6A" w:rsidRPr="003C6A66">
        <w:rPr>
          <w:bCs/>
          <w:vertAlign w:val="subscript"/>
          <w:lang w:val="en-GB"/>
        </w:rPr>
        <w:t>2</w:t>
      </w:r>
      <w:r w:rsidR="00416C6A" w:rsidRPr="003C6A66">
        <w:rPr>
          <w:bCs/>
          <w:lang w:val="en-GB"/>
        </w:rPr>
        <w:t>)</w:t>
      </w:r>
      <w:r w:rsidR="005F01A8" w:rsidRPr="003C6A66">
        <w:rPr>
          <w:bCs/>
          <w:lang w:val="en-GB"/>
        </w:rPr>
        <w:t>,</w:t>
      </w:r>
      <w:r w:rsidR="001F69D3" w:rsidRPr="003C6A66">
        <w:rPr>
          <w:bCs/>
          <w:lang w:val="en-GB"/>
        </w:rPr>
        <w:t xml:space="preserve"> including</w:t>
      </w:r>
      <w:r w:rsidR="006D3438" w:rsidRPr="003C6A66">
        <w:rPr>
          <w:bCs/>
          <w:lang w:val="en-GB"/>
        </w:rPr>
        <w:t xml:space="preserve"> pollutants</w:t>
      </w:r>
      <w:r w:rsidR="005F01A8" w:rsidRPr="003C6A66">
        <w:rPr>
          <w:bCs/>
          <w:lang w:val="en-GB"/>
        </w:rPr>
        <w:t xml:space="preserve"> one </w:t>
      </w:r>
      <w:r w:rsidR="001F69D3" w:rsidRPr="003C6A66">
        <w:rPr>
          <w:bCs/>
          <w:lang w:val="en-GB"/>
        </w:rPr>
        <w:t xml:space="preserve">by one </w:t>
      </w:r>
      <w:r w:rsidR="006716E1" w:rsidRPr="003C6A66">
        <w:rPr>
          <w:bCs/>
          <w:lang w:val="en-GB"/>
        </w:rPr>
        <w:t xml:space="preserve">(Table </w:t>
      </w:r>
      <w:r w:rsidR="00F5289E">
        <w:rPr>
          <w:bCs/>
          <w:lang w:val="en-GB"/>
        </w:rPr>
        <w:t>S</w:t>
      </w:r>
      <w:r w:rsidR="001051D1">
        <w:rPr>
          <w:bCs/>
          <w:lang w:val="en-GB"/>
        </w:rPr>
        <w:t>4</w:t>
      </w:r>
      <w:r w:rsidR="006716E1" w:rsidRPr="003C6A66">
        <w:rPr>
          <w:bCs/>
          <w:lang w:val="en-GB"/>
        </w:rPr>
        <w:t>)</w:t>
      </w:r>
      <w:r w:rsidR="001F69D3" w:rsidRPr="003C6A66">
        <w:rPr>
          <w:bCs/>
          <w:lang w:val="en-GB"/>
        </w:rPr>
        <w:t>.</w:t>
      </w:r>
      <w:r w:rsidR="002232C5">
        <w:rPr>
          <w:bCs/>
          <w:lang w:val="en-GB"/>
        </w:rPr>
        <w:t xml:space="preserve"> A</w:t>
      </w:r>
      <w:r w:rsidR="00E37E6C" w:rsidRPr="003C6A66">
        <w:rPr>
          <w:bCs/>
          <w:lang w:val="en-GB"/>
        </w:rPr>
        <w:t xml:space="preserve">ssociations </w:t>
      </w:r>
      <w:r w:rsidR="00E36236" w:rsidRPr="003C6A66">
        <w:rPr>
          <w:bCs/>
          <w:lang w:val="en-GB"/>
        </w:rPr>
        <w:t>between green spaces</w:t>
      </w:r>
      <w:r w:rsidR="00C14F51">
        <w:rPr>
          <w:bCs/>
          <w:lang w:val="en-GB"/>
        </w:rPr>
        <w:t>’ indicators</w:t>
      </w:r>
      <w:r w:rsidR="00E36236" w:rsidRPr="003C6A66">
        <w:rPr>
          <w:bCs/>
          <w:lang w:val="en-GB"/>
        </w:rPr>
        <w:t xml:space="preserve"> and </w:t>
      </w:r>
      <w:r w:rsidR="00C53774" w:rsidRPr="003C6A66">
        <w:rPr>
          <w:bCs/>
          <w:lang w:val="en-GB"/>
        </w:rPr>
        <w:t>lung</w:t>
      </w:r>
      <w:r w:rsidR="00E040BC" w:rsidRPr="003C6A66">
        <w:rPr>
          <w:bCs/>
          <w:lang w:val="en-GB"/>
        </w:rPr>
        <w:t>,</w:t>
      </w:r>
      <w:r w:rsidR="00C53774" w:rsidRPr="003C6A66">
        <w:rPr>
          <w:bCs/>
          <w:lang w:val="en-GB"/>
        </w:rPr>
        <w:t xml:space="preserve"> colorectal </w:t>
      </w:r>
      <w:r w:rsidR="00E040BC" w:rsidRPr="003C6A66">
        <w:rPr>
          <w:bCs/>
          <w:lang w:val="en-GB"/>
        </w:rPr>
        <w:t>and prostate cancer</w:t>
      </w:r>
      <w:r w:rsidR="00C53774" w:rsidRPr="003C6A66">
        <w:rPr>
          <w:bCs/>
          <w:lang w:val="en-GB"/>
        </w:rPr>
        <w:t xml:space="preserve"> mortality </w:t>
      </w:r>
      <w:r w:rsidR="00FE674C" w:rsidRPr="003C6A66">
        <w:rPr>
          <w:bCs/>
          <w:lang w:val="en-GB"/>
        </w:rPr>
        <w:t xml:space="preserve">generally </w:t>
      </w:r>
      <w:r w:rsidR="00C53774" w:rsidRPr="003C6A66">
        <w:rPr>
          <w:bCs/>
          <w:lang w:val="en-GB"/>
        </w:rPr>
        <w:t>attenuated</w:t>
      </w:r>
      <w:r w:rsidR="00770073">
        <w:rPr>
          <w:bCs/>
          <w:lang w:val="en-GB"/>
        </w:rPr>
        <w:t xml:space="preserve"> but remained significant</w:t>
      </w:r>
      <w:r w:rsidR="00C53774" w:rsidRPr="003C6A66">
        <w:rPr>
          <w:bCs/>
          <w:lang w:val="en-GB"/>
        </w:rPr>
        <w:t xml:space="preserve"> after adjustment for </w:t>
      </w:r>
      <w:r w:rsidR="00E040BC" w:rsidRPr="003C6A66">
        <w:rPr>
          <w:bCs/>
          <w:lang w:val="en-GB"/>
        </w:rPr>
        <w:t>air pollution</w:t>
      </w:r>
      <w:r w:rsidR="00C53774" w:rsidRPr="003C6A66">
        <w:rPr>
          <w:bCs/>
          <w:lang w:val="en-GB"/>
        </w:rPr>
        <w:t>.</w:t>
      </w:r>
      <w:r w:rsidR="00BF6967" w:rsidRPr="003C6A66">
        <w:rPr>
          <w:bCs/>
          <w:lang w:val="en-GB"/>
        </w:rPr>
        <w:t xml:space="preserve"> </w:t>
      </w:r>
      <w:r w:rsidR="0022256E" w:rsidRPr="003C6A66">
        <w:rPr>
          <w:bCs/>
          <w:lang w:val="en-GB"/>
        </w:rPr>
        <w:t xml:space="preserve">For breast cancer mortality, the associations with surrounding greenness became </w:t>
      </w:r>
      <w:r w:rsidR="00177349">
        <w:rPr>
          <w:bCs/>
          <w:lang w:val="en-GB"/>
        </w:rPr>
        <w:t xml:space="preserve">slightly </w:t>
      </w:r>
      <w:r w:rsidR="00FD063A">
        <w:rPr>
          <w:bCs/>
          <w:lang w:val="en-GB"/>
        </w:rPr>
        <w:t>stronger</w:t>
      </w:r>
      <w:r w:rsidR="0022256E" w:rsidRPr="003C6A66">
        <w:rPr>
          <w:bCs/>
          <w:lang w:val="en-GB"/>
        </w:rPr>
        <w:t xml:space="preserve"> </w:t>
      </w:r>
      <w:r w:rsidR="00FC1722" w:rsidRPr="003C6A66">
        <w:rPr>
          <w:bCs/>
          <w:lang w:val="en-GB"/>
        </w:rPr>
        <w:t>(</w:t>
      </w:r>
      <w:r w:rsidR="00C14F51">
        <w:rPr>
          <w:bCs/>
          <w:lang w:val="en-GB"/>
        </w:rPr>
        <w:t xml:space="preserve">e.g., </w:t>
      </w:r>
      <w:r w:rsidR="0076778A" w:rsidRPr="003C6A66">
        <w:rPr>
          <w:bCs/>
          <w:lang w:val="en-GB"/>
        </w:rPr>
        <w:t>for PM</w:t>
      </w:r>
      <w:r w:rsidR="0076778A" w:rsidRPr="003C6A66">
        <w:rPr>
          <w:bCs/>
          <w:vertAlign w:val="subscript"/>
          <w:lang w:val="en-GB"/>
        </w:rPr>
        <w:t>10</w:t>
      </w:r>
      <w:r w:rsidR="0076778A" w:rsidRPr="003C6A66">
        <w:rPr>
          <w:bCs/>
          <w:lang w:val="en-GB"/>
        </w:rPr>
        <w:t xml:space="preserve">: </w:t>
      </w:r>
      <w:r w:rsidR="00DF46E4" w:rsidRPr="001F2AD8">
        <w:rPr>
          <w:bCs/>
          <w:color w:val="000000"/>
          <w:lang w:val="en-GB"/>
        </w:rPr>
        <w:t>HR 0.91, 95%CI: 0.87, 0.96</w:t>
      </w:r>
      <w:r w:rsidR="0076778A" w:rsidRPr="001F2AD8">
        <w:rPr>
          <w:bCs/>
          <w:lang w:val="en-GB"/>
        </w:rPr>
        <w:t>).</w:t>
      </w:r>
    </w:p>
    <w:p w14:paraId="116A763B" w14:textId="5184D3DD" w:rsidR="00E17A1D" w:rsidRDefault="004D1AA0" w:rsidP="00801558">
      <w:pPr>
        <w:spacing w:line="276" w:lineRule="auto"/>
        <w:jc w:val="both"/>
        <w:rPr>
          <w:bCs/>
          <w:lang w:val="en-GB"/>
        </w:rPr>
      </w:pPr>
      <w:r w:rsidRPr="003C6A66">
        <w:rPr>
          <w:bCs/>
          <w:lang w:val="en-GB"/>
        </w:rPr>
        <w:t xml:space="preserve">The results of the mediation analyses can be found </w:t>
      </w:r>
      <w:r w:rsidR="00A25D65">
        <w:rPr>
          <w:bCs/>
          <w:lang w:val="en-GB"/>
        </w:rPr>
        <w:t xml:space="preserve">in </w:t>
      </w:r>
      <w:r w:rsidR="00027E2D">
        <w:rPr>
          <w:bCs/>
          <w:lang w:val="en-GB"/>
        </w:rPr>
        <w:t>Table S</w:t>
      </w:r>
      <w:r w:rsidR="00A03C72">
        <w:rPr>
          <w:bCs/>
          <w:lang w:val="en-GB"/>
        </w:rPr>
        <w:t>5</w:t>
      </w:r>
      <w:r w:rsidR="00A25D65">
        <w:rPr>
          <w:bCs/>
          <w:lang w:val="en-GB"/>
        </w:rPr>
        <w:t>.</w:t>
      </w:r>
      <w:r w:rsidRPr="003C6A66">
        <w:rPr>
          <w:bCs/>
          <w:lang w:val="en-GB"/>
        </w:rPr>
        <w:t xml:space="preserve"> </w:t>
      </w:r>
      <w:r w:rsidR="00DA441C" w:rsidRPr="003C6A66">
        <w:rPr>
          <w:bCs/>
          <w:lang w:val="en-GB"/>
        </w:rPr>
        <w:t xml:space="preserve">We conducted mediation analyses </w:t>
      </w:r>
      <w:r w:rsidR="004368B7">
        <w:rPr>
          <w:bCs/>
          <w:lang w:val="en-GB"/>
        </w:rPr>
        <w:t>for</w:t>
      </w:r>
      <w:r w:rsidRPr="003C6A66">
        <w:rPr>
          <w:bCs/>
          <w:lang w:val="en-GB"/>
        </w:rPr>
        <w:t xml:space="preserve"> the association</w:t>
      </w:r>
      <w:r w:rsidR="004368B7">
        <w:rPr>
          <w:bCs/>
          <w:lang w:val="en-GB"/>
        </w:rPr>
        <w:t>s</w:t>
      </w:r>
      <w:r w:rsidR="006175DA" w:rsidRPr="003C6A66">
        <w:rPr>
          <w:bCs/>
          <w:lang w:val="en-GB"/>
        </w:rPr>
        <w:t xml:space="preserve"> with</w:t>
      </w:r>
      <w:r w:rsidR="00DA441C" w:rsidRPr="003C6A66">
        <w:rPr>
          <w:bCs/>
          <w:lang w:val="en-GB"/>
        </w:rPr>
        <w:t xml:space="preserve"> lung and breast cancer mortality, </w:t>
      </w:r>
      <w:r w:rsidR="00DD2B70" w:rsidRPr="003C6A66">
        <w:rPr>
          <w:bCs/>
          <w:lang w:val="en-GB"/>
        </w:rPr>
        <w:t>as</w:t>
      </w:r>
      <w:r w:rsidR="00537B2E" w:rsidRPr="003C6A66">
        <w:rPr>
          <w:bCs/>
          <w:lang w:val="en-GB"/>
        </w:rPr>
        <w:t xml:space="preserve"> they</w:t>
      </w:r>
      <w:r w:rsidR="00DD2B70" w:rsidRPr="003C6A66">
        <w:rPr>
          <w:bCs/>
          <w:lang w:val="en-GB"/>
        </w:rPr>
        <w:t xml:space="preserve"> </w:t>
      </w:r>
      <w:r w:rsidR="00B94D7C" w:rsidRPr="003C6A66">
        <w:rPr>
          <w:bCs/>
          <w:lang w:val="en-GB"/>
        </w:rPr>
        <w:t xml:space="preserve">were significantly </w:t>
      </w:r>
      <w:r w:rsidR="00B94D7C" w:rsidRPr="003C6A66">
        <w:rPr>
          <w:bCs/>
          <w:lang w:val="en-GB"/>
        </w:rPr>
        <w:lastRenderedPageBreak/>
        <w:t xml:space="preserve">associated with the exposures </w:t>
      </w:r>
      <w:r w:rsidR="006175DA" w:rsidRPr="003C6A66">
        <w:rPr>
          <w:bCs/>
          <w:lang w:val="en-GB"/>
        </w:rPr>
        <w:t>in our main models</w:t>
      </w:r>
      <w:r w:rsidR="00B94D7C" w:rsidRPr="003C6A66">
        <w:rPr>
          <w:bCs/>
          <w:lang w:val="en-GB"/>
        </w:rPr>
        <w:t>.</w:t>
      </w:r>
      <w:r w:rsidR="008B1E03">
        <w:rPr>
          <w:bCs/>
          <w:lang w:val="en-GB"/>
        </w:rPr>
        <w:t xml:space="preserve"> </w:t>
      </w:r>
      <w:r w:rsidR="00C3201F">
        <w:rPr>
          <w:bCs/>
          <w:lang w:val="en-GB"/>
        </w:rPr>
        <w:t>T</w:t>
      </w:r>
      <w:r w:rsidR="008B1E03">
        <w:rPr>
          <w:bCs/>
          <w:lang w:val="en-GB"/>
        </w:rPr>
        <w:t xml:space="preserve">he </w:t>
      </w:r>
      <w:r w:rsidR="00C3201F">
        <w:rPr>
          <w:bCs/>
          <w:lang w:val="en-GB"/>
        </w:rPr>
        <w:t xml:space="preserve">results of the </w:t>
      </w:r>
      <w:r w:rsidR="008B1E03">
        <w:rPr>
          <w:bCs/>
          <w:lang w:val="en-GB"/>
        </w:rPr>
        <w:t xml:space="preserve">mediation </w:t>
      </w:r>
      <w:r w:rsidR="00C3201F">
        <w:rPr>
          <w:bCs/>
          <w:lang w:val="en-GB"/>
        </w:rPr>
        <w:t xml:space="preserve">analyses </w:t>
      </w:r>
      <w:r w:rsidR="008B1E03">
        <w:rPr>
          <w:bCs/>
          <w:lang w:val="en-GB"/>
        </w:rPr>
        <w:t>were</w:t>
      </w:r>
      <w:r w:rsidR="00C3201F">
        <w:rPr>
          <w:bCs/>
          <w:lang w:val="en-GB"/>
        </w:rPr>
        <w:t xml:space="preserve"> only significant for </w:t>
      </w:r>
      <w:r w:rsidR="000F336E">
        <w:rPr>
          <w:bCs/>
          <w:lang w:val="en-GB"/>
        </w:rPr>
        <w:t>PM</w:t>
      </w:r>
      <w:r w:rsidR="000F336E" w:rsidRPr="001545E8">
        <w:rPr>
          <w:bCs/>
          <w:vertAlign w:val="subscript"/>
          <w:lang w:val="en-GB"/>
        </w:rPr>
        <w:t>10</w:t>
      </w:r>
      <w:r w:rsidR="000F336E">
        <w:rPr>
          <w:bCs/>
          <w:lang w:val="en-GB"/>
        </w:rPr>
        <w:t xml:space="preserve"> and NO</w:t>
      </w:r>
      <w:r w:rsidR="000F336E" w:rsidRPr="001545E8">
        <w:rPr>
          <w:bCs/>
          <w:vertAlign w:val="subscript"/>
          <w:lang w:val="en-GB"/>
        </w:rPr>
        <w:t>2</w:t>
      </w:r>
      <w:r w:rsidR="00C3201F">
        <w:rPr>
          <w:bCs/>
          <w:lang w:val="en-GB"/>
        </w:rPr>
        <w:t xml:space="preserve"> in the associations between perceived neighbourhood greenness and lung cancer mortality.</w:t>
      </w:r>
      <w:r w:rsidR="00DD2B70" w:rsidRPr="003C6A66">
        <w:rPr>
          <w:bCs/>
          <w:lang w:val="en-GB"/>
        </w:rPr>
        <w:t xml:space="preserve"> </w:t>
      </w:r>
      <w:r w:rsidR="00AD4753" w:rsidRPr="003C6A66">
        <w:rPr>
          <w:bCs/>
          <w:lang w:val="en-GB"/>
        </w:rPr>
        <w:t>Our</w:t>
      </w:r>
      <w:r w:rsidR="0059330B" w:rsidRPr="003C6A66">
        <w:rPr>
          <w:bCs/>
          <w:lang w:val="en-GB"/>
        </w:rPr>
        <w:t xml:space="preserve"> results </w:t>
      </w:r>
      <w:r w:rsidR="004A425E" w:rsidRPr="003C6A66">
        <w:rPr>
          <w:bCs/>
          <w:lang w:val="en-GB"/>
        </w:rPr>
        <w:t>suggest</w:t>
      </w:r>
      <w:r w:rsidR="002B5FBB" w:rsidRPr="003C6A66">
        <w:rPr>
          <w:bCs/>
          <w:lang w:val="en-GB"/>
        </w:rPr>
        <w:t>ed</w:t>
      </w:r>
      <w:r w:rsidR="0059330B" w:rsidRPr="003C6A66">
        <w:rPr>
          <w:bCs/>
          <w:lang w:val="en-GB"/>
        </w:rPr>
        <w:t xml:space="preserve"> that </w:t>
      </w:r>
      <w:r w:rsidR="00A27A5A">
        <w:rPr>
          <w:bCs/>
          <w:lang w:val="en-GB"/>
        </w:rPr>
        <w:t xml:space="preserve">the proportion </w:t>
      </w:r>
      <w:r w:rsidR="006E2530">
        <w:rPr>
          <w:bCs/>
          <w:lang w:val="en-GB"/>
        </w:rPr>
        <w:t xml:space="preserve">of </w:t>
      </w:r>
      <w:r w:rsidR="006E2530" w:rsidRPr="003C6A66">
        <w:rPr>
          <w:bCs/>
          <w:lang w:val="en-GB"/>
        </w:rPr>
        <w:t>lung cancer mortality</w:t>
      </w:r>
      <w:r w:rsidR="006E2530" w:rsidRPr="006E2530">
        <w:rPr>
          <w:bCs/>
          <w:lang w:val="en-GB"/>
        </w:rPr>
        <w:t xml:space="preserve"> </w:t>
      </w:r>
      <w:r w:rsidR="006E2530" w:rsidRPr="003C6A66">
        <w:rPr>
          <w:bCs/>
          <w:lang w:val="en-GB"/>
        </w:rPr>
        <w:t xml:space="preserve">reduction </w:t>
      </w:r>
      <w:r w:rsidR="00A27A5A">
        <w:rPr>
          <w:bCs/>
          <w:lang w:val="en-GB"/>
        </w:rPr>
        <w:t xml:space="preserve">mediated </w:t>
      </w:r>
      <w:r w:rsidR="00EC212A" w:rsidRPr="003C6A66">
        <w:rPr>
          <w:bCs/>
          <w:lang w:val="en-GB"/>
        </w:rPr>
        <w:t xml:space="preserve">by </w:t>
      </w:r>
      <w:r w:rsidR="00266C80" w:rsidRPr="003C6A66">
        <w:rPr>
          <w:bCs/>
          <w:lang w:val="en-GB"/>
        </w:rPr>
        <w:t>reduc</w:t>
      </w:r>
      <w:r w:rsidR="0050218A">
        <w:rPr>
          <w:bCs/>
          <w:lang w:val="en-GB"/>
        </w:rPr>
        <w:t>tions in</w:t>
      </w:r>
      <w:r w:rsidR="00CB7632" w:rsidRPr="003C6A66">
        <w:rPr>
          <w:bCs/>
          <w:lang w:val="en-GB"/>
        </w:rPr>
        <w:t xml:space="preserve"> </w:t>
      </w:r>
      <w:r w:rsidR="00DD0852">
        <w:rPr>
          <w:bCs/>
          <w:lang w:val="en-GB"/>
        </w:rPr>
        <w:t>PM</w:t>
      </w:r>
      <w:r w:rsidR="00DD0852" w:rsidRPr="006A1D83">
        <w:rPr>
          <w:bCs/>
          <w:vertAlign w:val="subscript"/>
          <w:lang w:val="en-GB"/>
        </w:rPr>
        <w:t>10</w:t>
      </w:r>
      <w:r w:rsidR="00DD0852">
        <w:rPr>
          <w:bCs/>
          <w:lang w:val="en-GB"/>
        </w:rPr>
        <w:t xml:space="preserve"> and NO</w:t>
      </w:r>
      <w:r w:rsidR="00DD0852" w:rsidRPr="006A1D83">
        <w:rPr>
          <w:bCs/>
          <w:vertAlign w:val="subscript"/>
          <w:lang w:val="en-GB"/>
        </w:rPr>
        <w:t>2</w:t>
      </w:r>
      <w:r w:rsidR="00DD0852">
        <w:rPr>
          <w:bCs/>
          <w:lang w:val="en-GB"/>
        </w:rPr>
        <w:t xml:space="preserve"> </w:t>
      </w:r>
      <w:r w:rsidR="00CB7632" w:rsidRPr="003C6A66">
        <w:rPr>
          <w:bCs/>
          <w:lang w:val="en-GB"/>
        </w:rPr>
        <w:t>concentrations</w:t>
      </w:r>
      <w:r w:rsidR="00877A1F" w:rsidRPr="003C6A66">
        <w:rPr>
          <w:bCs/>
          <w:lang w:val="en-GB"/>
        </w:rPr>
        <w:t xml:space="preserve"> </w:t>
      </w:r>
      <w:r w:rsidR="0088338C" w:rsidRPr="003C6A66">
        <w:rPr>
          <w:bCs/>
          <w:lang w:val="en-GB"/>
        </w:rPr>
        <w:t>after exposure to increased perceived neighbourhood greenness</w:t>
      </w:r>
      <w:r w:rsidR="0088338C" w:rsidRPr="003C6A66" w:rsidDel="003271BF">
        <w:rPr>
          <w:bCs/>
          <w:lang w:val="en-GB"/>
        </w:rPr>
        <w:t xml:space="preserve"> </w:t>
      </w:r>
      <w:r w:rsidR="00A27A5A">
        <w:rPr>
          <w:bCs/>
          <w:lang w:val="en-GB"/>
        </w:rPr>
        <w:t>was</w:t>
      </w:r>
      <w:r w:rsidR="003271BF">
        <w:rPr>
          <w:bCs/>
          <w:lang w:val="en-GB"/>
        </w:rPr>
        <w:t xml:space="preserve"> very modest,</w:t>
      </w:r>
      <w:r w:rsidR="00A27A5A">
        <w:rPr>
          <w:bCs/>
          <w:lang w:val="en-GB"/>
        </w:rPr>
        <w:t xml:space="preserve"> </w:t>
      </w:r>
      <w:r w:rsidR="00056F22">
        <w:rPr>
          <w:bCs/>
          <w:lang w:val="en-GB"/>
        </w:rPr>
        <w:t xml:space="preserve">e.g., </w:t>
      </w:r>
      <w:r w:rsidR="00A27A5A">
        <w:rPr>
          <w:bCs/>
          <w:lang w:val="en-GB"/>
        </w:rPr>
        <w:t>0.</w:t>
      </w:r>
      <w:r w:rsidR="00C332B6">
        <w:rPr>
          <w:bCs/>
          <w:lang w:val="en-GB"/>
        </w:rPr>
        <w:t>06</w:t>
      </w:r>
      <w:r w:rsidR="00C332B6" w:rsidRPr="003C6A66">
        <w:rPr>
          <w:bCs/>
          <w:lang w:val="en-GB"/>
        </w:rPr>
        <w:t xml:space="preserve"> </w:t>
      </w:r>
      <w:r w:rsidR="00A27A5A" w:rsidRPr="003C6A66">
        <w:rPr>
          <w:bCs/>
          <w:lang w:val="en-GB"/>
        </w:rPr>
        <w:t xml:space="preserve">(95%CI: </w:t>
      </w:r>
      <w:r w:rsidR="00A27A5A">
        <w:rPr>
          <w:bCs/>
          <w:lang w:val="en-GB"/>
        </w:rPr>
        <w:t>0.0</w:t>
      </w:r>
      <w:r w:rsidR="00C332B6">
        <w:rPr>
          <w:bCs/>
          <w:lang w:val="en-GB"/>
        </w:rPr>
        <w:t>1</w:t>
      </w:r>
      <w:r w:rsidR="00A27A5A" w:rsidRPr="003C6A66">
        <w:rPr>
          <w:bCs/>
          <w:lang w:val="en-GB"/>
        </w:rPr>
        <w:t xml:space="preserve">, </w:t>
      </w:r>
      <w:r w:rsidR="00A27A5A">
        <w:rPr>
          <w:bCs/>
          <w:lang w:val="en-GB"/>
        </w:rPr>
        <w:t>0.</w:t>
      </w:r>
      <w:r w:rsidR="00A27A5A" w:rsidRPr="003C6A66">
        <w:rPr>
          <w:bCs/>
          <w:lang w:val="en-GB"/>
        </w:rPr>
        <w:t>1</w:t>
      </w:r>
      <w:r w:rsidR="00C332B6">
        <w:rPr>
          <w:bCs/>
          <w:lang w:val="en-GB"/>
        </w:rPr>
        <w:t>2</w:t>
      </w:r>
      <w:r w:rsidR="00A27A5A" w:rsidRPr="003C6A66">
        <w:rPr>
          <w:bCs/>
          <w:lang w:val="en-GB"/>
        </w:rPr>
        <w:t xml:space="preserve">) </w:t>
      </w:r>
      <w:r w:rsidR="00056F22">
        <w:rPr>
          <w:bCs/>
          <w:lang w:val="en-GB"/>
        </w:rPr>
        <w:t>for PM</w:t>
      </w:r>
      <w:r w:rsidR="00056F22" w:rsidRPr="006A1D83">
        <w:rPr>
          <w:bCs/>
          <w:vertAlign w:val="subscript"/>
          <w:lang w:val="en-GB"/>
        </w:rPr>
        <w:t>10</w:t>
      </w:r>
      <w:r w:rsidR="00CB7632" w:rsidRPr="003C6A66">
        <w:rPr>
          <w:bCs/>
          <w:lang w:val="en-GB"/>
        </w:rPr>
        <w:t xml:space="preserve">. </w:t>
      </w:r>
      <w:r w:rsidR="00F6582A">
        <w:rPr>
          <w:bCs/>
          <w:lang w:val="en-GB"/>
        </w:rPr>
        <w:t>Results with PM</w:t>
      </w:r>
      <w:r w:rsidR="00F6582A" w:rsidRPr="001545E8">
        <w:rPr>
          <w:bCs/>
          <w:vertAlign w:val="subscript"/>
          <w:lang w:val="en-GB"/>
        </w:rPr>
        <w:t>2.5</w:t>
      </w:r>
      <w:r w:rsidR="00F6582A">
        <w:rPr>
          <w:bCs/>
          <w:lang w:val="en-GB"/>
        </w:rPr>
        <w:t xml:space="preserve"> were similar but not significant. </w:t>
      </w:r>
      <w:r w:rsidR="00526493">
        <w:rPr>
          <w:bCs/>
          <w:lang w:val="en-GB"/>
        </w:rPr>
        <w:t>W</w:t>
      </w:r>
      <w:r w:rsidR="00266C80" w:rsidRPr="003C6A66">
        <w:rPr>
          <w:bCs/>
          <w:lang w:val="en-GB"/>
        </w:rPr>
        <w:t>ith surrounding greenness</w:t>
      </w:r>
      <w:r w:rsidR="007C5614">
        <w:rPr>
          <w:bCs/>
          <w:lang w:val="en-GB"/>
        </w:rPr>
        <w:t xml:space="preserve"> and green areas, </w:t>
      </w:r>
      <w:r w:rsidR="00185CFA">
        <w:rPr>
          <w:bCs/>
          <w:lang w:val="en-GB"/>
        </w:rPr>
        <w:t>mediation results</w:t>
      </w:r>
      <w:r w:rsidR="00526493">
        <w:rPr>
          <w:bCs/>
          <w:lang w:val="en-GB"/>
        </w:rPr>
        <w:t xml:space="preserve"> </w:t>
      </w:r>
      <w:r w:rsidR="001B410D">
        <w:rPr>
          <w:bCs/>
          <w:lang w:val="en-GB"/>
        </w:rPr>
        <w:t>w</w:t>
      </w:r>
      <w:r w:rsidR="00185CFA">
        <w:rPr>
          <w:bCs/>
          <w:lang w:val="en-GB"/>
        </w:rPr>
        <w:t>ere</w:t>
      </w:r>
      <w:r w:rsidR="001B410D">
        <w:rPr>
          <w:bCs/>
          <w:lang w:val="en-GB"/>
        </w:rPr>
        <w:t xml:space="preserve"> </w:t>
      </w:r>
      <w:r w:rsidR="001B410D" w:rsidRPr="003C6A66">
        <w:rPr>
          <w:bCs/>
          <w:lang w:val="en-GB"/>
        </w:rPr>
        <w:t>no</w:t>
      </w:r>
      <w:r w:rsidR="001B410D">
        <w:rPr>
          <w:bCs/>
          <w:lang w:val="en-GB"/>
        </w:rPr>
        <w:t xml:space="preserve">t </w:t>
      </w:r>
      <w:r w:rsidR="001B410D" w:rsidRPr="003C6A66">
        <w:rPr>
          <w:bCs/>
          <w:lang w:val="en-GB"/>
        </w:rPr>
        <w:t>significant</w:t>
      </w:r>
      <w:r w:rsidR="00266C80" w:rsidRPr="003C6A66">
        <w:rPr>
          <w:bCs/>
          <w:lang w:val="en-GB"/>
        </w:rPr>
        <w:t xml:space="preserve">. </w:t>
      </w:r>
      <w:r w:rsidR="00877A1F" w:rsidRPr="003C6A66">
        <w:rPr>
          <w:bCs/>
          <w:lang w:val="en-GB"/>
        </w:rPr>
        <w:t>The mediation analyses for breast cancer mortality did not yield significant result</w:t>
      </w:r>
      <w:r w:rsidR="00110BE9" w:rsidRPr="003C6A66">
        <w:rPr>
          <w:bCs/>
          <w:lang w:val="en-GB"/>
        </w:rPr>
        <w:t>s</w:t>
      </w:r>
      <w:r w:rsidR="00877A1F" w:rsidRPr="003C6A66">
        <w:rPr>
          <w:bCs/>
          <w:lang w:val="en-GB"/>
        </w:rPr>
        <w:t>.</w:t>
      </w:r>
    </w:p>
    <w:p w14:paraId="772955BE" w14:textId="2D2D118D" w:rsidR="001E5504" w:rsidRDefault="00942A3F" w:rsidP="00801558">
      <w:pPr>
        <w:spacing w:line="276" w:lineRule="auto"/>
        <w:jc w:val="both"/>
        <w:rPr>
          <w:bCs/>
          <w:lang w:val="en-GB"/>
        </w:rPr>
      </w:pPr>
      <w:r w:rsidRPr="003C6A66">
        <w:rPr>
          <w:bCs/>
          <w:lang w:val="en-GB"/>
        </w:rPr>
        <w:t>Results of the effect modification analyses</w:t>
      </w:r>
      <w:r w:rsidR="00B82954" w:rsidRPr="003C6A66">
        <w:rPr>
          <w:bCs/>
          <w:lang w:val="en-GB"/>
        </w:rPr>
        <w:t xml:space="preserve"> by age, </w:t>
      </w:r>
      <w:r w:rsidR="007D1D0D" w:rsidRPr="003C6A66">
        <w:rPr>
          <w:bCs/>
          <w:lang w:val="en-GB"/>
        </w:rPr>
        <w:t>educational level and area-level SEP</w:t>
      </w:r>
      <w:r w:rsidRPr="003C6A66">
        <w:rPr>
          <w:bCs/>
          <w:lang w:val="en-GB"/>
        </w:rPr>
        <w:t xml:space="preserve"> can be found in Figure 2</w:t>
      </w:r>
      <w:r w:rsidR="000F0543" w:rsidRPr="003C6A66">
        <w:rPr>
          <w:bCs/>
          <w:lang w:val="en-GB"/>
        </w:rPr>
        <w:t xml:space="preserve"> and </w:t>
      </w:r>
      <w:r w:rsidR="00550E3D" w:rsidRPr="003C6A66">
        <w:rPr>
          <w:bCs/>
          <w:lang w:val="en-GB"/>
        </w:rPr>
        <w:t>the exact estimates are shown</w:t>
      </w:r>
      <w:r w:rsidR="000F0543" w:rsidRPr="003C6A66">
        <w:rPr>
          <w:bCs/>
          <w:lang w:val="en-GB"/>
        </w:rPr>
        <w:t xml:space="preserve"> in Table S</w:t>
      </w:r>
      <w:r w:rsidR="000045B8">
        <w:rPr>
          <w:bCs/>
          <w:lang w:val="en-GB"/>
        </w:rPr>
        <w:t>6</w:t>
      </w:r>
      <w:r w:rsidRPr="003C6A66">
        <w:rPr>
          <w:bCs/>
          <w:lang w:val="en-GB"/>
        </w:rPr>
        <w:t>.</w:t>
      </w:r>
      <w:r w:rsidR="00E915DA">
        <w:rPr>
          <w:bCs/>
          <w:lang w:val="en-GB"/>
        </w:rPr>
        <w:t xml:space="preserve"> Results for surrounding green areas were very similar to those of surrounding greenness and are shown in Table S</w:t>
      </w:r>
      <w:r w:rsidR="001051D1">
        <w:rPr>
          <w:bCs/>
          <w:lang w:val="en-GB"/>
        </w:rPr>
        <w:t>5</w:t>
      </w:r>
      <w:r w:rsidR="00E915DA">
        <w:rPr>
          <w:bCs/>
          <w:lang w:val="en-GB"/>
        </w:rPr>
        <w:t>.</w:t>
      </w:r>
      <w:r w:rsidR="006579E6">
        <w:rPr>
          <w:bCs/>
          <w:lang w:val="en-GB"/>
        </w:rPr>
        <w:t xml:space="preserve"> </w:t>
      </w:r>
      <w:r w:rsidR="00CA7F58" w:rsidRPr="003C6A66">
        <w:rPr>
          <w:bCs/>
          <w:lang w:val="en-GB"/>
        </w:rPr>
        <w:t>When exploring interaction, age</w:t>
      </w:r>
      <w:r w:rsidR="00E34B6E" w:rsidRPr="003C6A66">
        <w:rPr>
          <w:bCs/>
          <w:lang w:val="en-GB"/>
        </w:rPr>
        <w:t xml:space="preserve"> appeared as a significant effect modifier</w:t>
      </w:r>
      <w:r w:rsidR="00CC5DCD" w:rsidRPr="003C6A66">
        <w:rPr>
          <w:bCs/>
          <w:lang w:val="en-GB"/>
        </w:rPr>
        <w:t xml:space="preserve"> </w:t>
      </w:r>
      <w:r w:rsidR="00D74D74">
        <w:rPr>
          <w:bCs/>
          <w:lang w:val="en-GB"/>
        </w:rPr>
        <w:t>in</w:t>
      </w:r>
      <w:r w:rsidR="00CC5DCD" w:rsidRPr="003C6A66">
        <w:rPr>
          <w:bCs/>
          <w:lang w:val="en-GB"/>
        </w:rPr>
        <w:t xml:space="preserve"> all </w:t>
      </w:r>
      <w:r w:rsidR="00D74D74">
        <w:rPr>
          <w:bCs/>
          <w:lang w:val="en-GB"/>
        </w:rPr>
        <w:t>associations</w:t>
      </w:r>
      <w:r w:rsidR="00CC5DCD" w:rsidRPr="003C6A66">
        <w:rPr>
          <w:bCs/>
          <w:lang w:val="en-GB"/>
        </w:rPr>
        <w:t xml:space="preserve">, </w:t>
      </w:r>
      <w:r w:rsidR="009E66EF" w:rsidRPr="001F2AD8">
        <w:rPr>
          <w:bCs/>
          <w:lang w:val="en-GB"/>
        </w:rPr>
        <w:t>including</w:t>
      </w:r>
      <w:r w:rsidR="00CC5DCD" w:rsidRPr="001F2AD8">
        <w:rPr>
          <w:bCs/>
          <w:lang w:val="en-GB"/>
        </w:rPr>
        <w:t xml:space="preserve"> for breast cancer mortality</w:t>
      </w:r>
      <w:r w:rsidR="009E66EF" w:rsidRPr="001F2AD8">
        <w:rPr>
          <w:bCs/>
          <w:lang w:val="en-GB"/>
        </w:rPr>
        <w:t xml:space="preserve"> when using </w:t>
      </w:r>
      <w:r w:rsidR="001A3045" w:rsidRPr="001F2AD8">
        <w:rPr>
          <w:bCs/>
          <w:lang w:val="en-GB"/>
        </w:rPr>
        <w:t>50 years as cut-off point</w:t>
      </w:r>
      <w:r w:rsidR="00CC5DCD" w:rsidRPr="001F2AD8">
        <w:rPr>
          <w:bCs/>
          <w:lang w:val="en-GB"/>
        </w:rPr>
        <w:t>.</w:t>
      </w:r>
      <w:r w:rsidR="00B82954" w:rsidRPr="003C6A66">
        <w:rPr>
          <w:bCs/>
          <w:lang w:val="en-GB"/>
        </w:rPr>
        <w:t xml:space="preserve"> </w:t>
      </w:r>
      <w:r w:rsidR="00E777A2" w:rsidRPr="003C6A66">
        <w:rPr>
          <w:bCs/>
          <w:lang w:val="en-GB"/>
        </w:rPr>
        <w:t>W</w:t>
      </w:r>
      <w:r w:rsidR="007D1D0D" w:rsidRPr="003C6A66">
        <w:rPr>
          <w:bCs/>
          <w:lang w:val="en-GB"/>
        </w:rPr>
        <w:t xml:space="preserve">e observed that </w:t>
      </w:r>
      <w:r w:rsidR="00007F2A" w:rsidRPr="003C6A66">
        <w:rPr>
          <w:bCs/>
          <w:lang w:val="en-GB"/>
        </w:rPr>
        <w:t xml:space="preserve">the </w:t>
      </w:r>
      <w:r w:rsidR="007D1D0D" w:rsidRPr="003C6A66">
        <w:rPr>
          <w:bCs/>
          <w:lang w:val="en-GB"/>
        </w:rPr>
        <w:t>effect</w:t>
      </w:r>
      <w:r w:rsidR="005402D0" w:rsidRPr="003C6A66">
        <w:rPr>
          <w:bCs/>
          <w:lang w:val="en-GB"/>
        </w:rPr>
        <w:t xml:space="preserve"> of residential green</w:t>
      </w:r>
      <w:r w:rsidR="00D859F1">
        <w:rPr>
          <w:bCs/>
          <w:lang w:val="en-GB"/>
        </w:rPr>
        <w:t>ness</w:t>
      </w:r>
      <w:r w:rsidR="005402D0" w:rsidRPr="003C6A66">
        <w:rPr>
          <w:bCs/>
          <w:lang w:val="en-GB"/>
        </w:rPr>
        <w:t xml:space="preserve"> on lung cancer and colorectal cancer mortality</w:t>
      </w:r>
      <w:r w:rsidR="007D1D0D" w:rsidRPr="003C6A66">
        <w:rPr>
          <w:bCs/>
          <w:lang w:val="en-GB"/>
        </w:rPr>
        <w:t xml:space="preserve"> </w:t>
      </w:r>
      <w:r w:rsidR="00D64CDD" w:rsidRPr="003C6A66">
        <w:rPr>
          <w:bCs/>
          <w:lang w:val="en-GB"/>
        </w:rPr>
        <w:t>was</w:t>
      </w:r>
      <w:r w:rsidR="007D1D0D" w:rsidRPr="003C6A66">
        <w:rPr>
          <w:bCs/>
          <w:lang w:val="en-GB"/>
        </w:rPr>
        <w:t xml:space="preserve"> stronger in younger </w:t>
      </w:r>
      <w:r w:rsidR="00095BD4">
        <w:rPr>
          <w:bCs/>
          <w:lang w:val="en-GB"/>
        </w:rPr>
        <w:t>individuals (</w:t>
      </w:r>
      <w:r w:rsidR="00100E3C">
        <w:rPr>
          <w:bCs/>
          <w:lang w:val="en-GB"/>
        </w:rPr>
        <w:sym w:font="Symbol" w:char="F03C"/>
      </w:r>
      <w:r w:rsidR="007D1D0D" w:rsidRPr="003C6A66">
        <w:rPr>
          <w:bCs/>
          <w:lang w:val="en-GB"/>
        </w:rPr>
        <w:t>65 years</w:t>
      </w:r>
      <w:r w:rsidR="00095BD4">
        <w:rPr>
          <w:bCs/>
          <w:lang w:val="en-GB"/>
        </w:rPr>
        <w:t>)</w:t>
      </w:r>
      <w:r w:rsidR="007D1D0D" w:rsidRPr="003C6A66">
        <w:rPr>
          <w:bCs/>
          <w:lang w:val="en-GB"/>
        </w:rPr>
        <w:t xml:space="preserve"> </w:t>
      </w:r>
      <w:r w:rsidR="009546DA" w:rsidRPr="003C6A66">
        <w:rPr>
          <w:bCs/>
          <w:lang w:val="en-GB"/>
        </w:rPr>
        <w:t xml:space="preserve">(e.g., for lung cancer and perceived </w:t>
      </w:r>
      <w:r w:rsidR="00904CEA" w:rsidRPr="003C6A66">
        <w:rPr>
          <w:bCs/>
          <w:lang w:val="en-GB"/>
        </w:rPr>
        <w:t>neighbourhood</w:t>
      </w:r>
      <w:r w:rsidR="009546DA" w:rsidRPr="003C6A66">
        <w:rPr>
          <w:bCs/>
          <w:lang w:val="en-GB"/>
        </w:rPr>
        <w:t xml:space="preserve"> greenness: HR </w:t>
      </w:r>
      <w:r w:rsidR="00F54714" w:rsidRPr="003C6A66">
        <w:rPr>
          <w:bCs/>
          <w:lang w:val="en-GB"/>
        </w:rPr>
        <w:t>0.9</w:t>
      </w:r>
      <w:r w:rsidR="00CD3B5B">
        <w:rPr>
          <w:bCs/>
          <w:lang w:val="en-GB"/>
        </w:rPr>
        <w:t>1</w:t>
      </w:r>
      <w:r w:rsidR="000F0543" w:rsidRPr="003C6A66">
        <w:rPr>
          <w:bCs/>
          <w:lang w:val="en-GB"/>
        </w:rPr>
        <w:t>,</w:t>
      </w:r>
      <w:r w:rsidR="00F54714" w:rsidRPr="003C6A66">
        <w:rPr>
          <w:bCs/>
          <w:lang w:val="en-GB"/>
        </w:rPr>
        <w:t xml:space="preserve"> </w:t>
      </w:r>
      <w:r w:rsidR="008454EB" w:rsidRPr="003C6A66">
        <w:rPr>
          <w:bCs/>
          <w:lang w:val="en-GB"/>
        </w:rPr>
        <w:t xml:space="preserve">95%CI: </w:t>
      </w:r>
      <w:r w:rsidR="00F54714" w:rsidRPr="003C6A66">
        <w:rPr>
          <w:bCs/>
          <w:lang w:val="en-GB"/>
        </w:rPr>
        <w:t>0.88, 0.93)</w:t>
      </w:r>
      <w:r w:rsidR="00193AA5" w:rsidRPr="003C6A66">
        <w:rPr>
          <w:bCs/>
          <w:lang w:val="en-GB"/>
        </w:rPr>
        <w:t>.</w:t>
      </w:r>
      <w:r w:rsidR="00550E3D" w:rsidRPr="003C6A66">
        <w:rPr>
          <w:bCs/>
          <w:lang w:val="en-GB"/>
        </w:rPr>
        <w:t xml:space="preserve"> </w:t>
      </w:r>
      <w:r w:rsidR="00087DB9" w:rsidRPr="001F2AD8">
        <w:rPr>
          <w:bCs/>
          <w:lang w:val="en-GB"/>
        </w:rPr>
        <w:t>On the contrary, for breast cancer mortality, the association with surrounding greenness was stronger for women older than 50 years old.</w:t>
      </w:r>
      <w:r w:rsidR="00087DB9" w:rsidRPr="003C6A66">
        <w:rPr>
          <w:bCs/>
          <w:lang w:val="en-GB"/>
        </w:rPr>
        <w:t xml:space="preserve"> </w:t>
      </w:r>
      <w:r w:rsidR="00EE6D8F" w:rsidRPr="003C6A66">
        <w:rPr>
          <w:bCs/>
          <w:lang w:val="en-GB"/>
        </w:rPr>
        <w:t>For prostate cancer mortality</w:t>
      </w:r>
      <w:r w:rsidR="001D4707" w:rsidRPr="003C6A66">
        <w:rPr>
          <w:bCs/>
          <w:lang w:val="en-GB"/>
        </w:rPr>
        <w:t xml:space="preserve"> there was no clear difference between age groups. </w:t>
      </w:r>
      <w:r w:rsidR="00CA7F58" w:rsidRPr="00CF039B">
        <w:rPr>
          <w:bCs/>
          <w:lang w:val="en-GB"/>
        </w:rPr>
        <w:t>Education was a significant effect modifier in the association between surrounding greenness</w:t>
      </w:r>
      <w:r w:rsidR="00CF039B" w:rsidRPr="00CF039B">
        <w:rPr>
          <w:bCs/>
          <w:lang w:val="en-GB"/>
        </w:rPr>
        <w:t xml:space="preserve"> and green areas and</w:t>
      </w:r>
      <w:r w:rsidR="00CA7F58" w:rsidRPr="00CF039B">
        <w:rPr>
          <w:bCs/>
          <w:lang w:val="en-GB"/>
        </w:rPr>
        <w:t xml:space="preserve"> lung and breast cancer mortality</w:t>
      </w:r>
      <w:r w:rsidR="004178DD" w:rsidRPr="00CF039B">
        <w:rPr>
          <w:bCs/>
          <w:lang w:val="en-GB"/>
        </w:rPr>
        <w:t>.</w:t>
      </w:r>
      <w:r w:rsidR="00304B7C" w:rsidRPr="003C6A66">
        <w:rPr>
          <w:bCs/>
          <w:lang w:val="en-GB"/>
        </w:rPr>
        <w:t xml:space="preserve"> </w:t>
      </w:r>
      <w:r w:rsidR="00520C4C" w:rsidRPr="003C6A66">
        <w:rPr>
          <w:bCs/>
          <w:lang w:val="en-GB"/>
        </w:rPr>
        <w:t xml:space="preserve">No clear trend was found across educational levels for any outcome. </w:t>
      </w:r>
      <w:r w:rsidR="00304B7C" w:rsidRPr="003C6A66">
        <w:rPr>
          <w:bCs/>
          <w:lang w:val="en-GB"/>
        </w:rPr>
        <w:t xml:space="preserve">For lung cancer mortality, individuals with higher secondary education </w:t>
      </w:r>
      <w:r w:rsidR="00DD1347" w:rsidRPr="003C6A66">
        <w:rPr>
          <w:bCs/>
          <w:lang w:val="en-GB"/>
        </w:rPr>
        <w:t>seemed to have a greater beneficial effect</w:t>
      </w:r>
      <w:r w:rsidR="00892544" w:rsidRPr="003C6A66">
        <w:rPr>
          <w:bCs/>
          <w:lang w:val="en-GB"/>
        </w:rPr>
        <w:t xml:space="preserve"> </w:t>
      </w:r>
      <w:r w:rsidR="00977B91">
        <w:rPr>
          <w:bCs/>
          <w:lang w:val="en-GB"/>
        </w:rPr>
        <w:t xml:space="preserve">of </w:t>
      </w:r>
      <w:r w:rsidR="00020B7F">
        <w:rPr>
          <w:bCs/>
          <w:lang w:val="en-GB"/>
        </w:rPr>
        <w:t>higher</w:t>
      </w:r>
      <w:r w:rsidR="00892544" w:rsidRPr="003C6A66">
        <w:rPr>
          <w:bCs/>
          <w:lang w:val="en-GB"/>
        </w:rPr>
        <w:t xml:space="preserve"> </w:t>
      </w:r>
      <w:r w:rsidR="00367833">
        <w:rPr>
          <w:bCs/>
          <w:lang w:val="en-GB"/>
        </w:rPr>
        <w:t>surrounding greenness</w:t>
      </w:r>
      <w:r w:rsidR="008A4EB3">
        <w:rPr>
          <w:bCs/>
          <w:lang w:val="en-GB"/>
        </w:rPr>
        <w:t xml:space="preserve">, whereas </w:t>
      </w:r>
      <w:r w:rsidR="00B11BAF">
        <w:rPr>
          <w:bCs/>
          <w:lang w:val="en-GB"/>
        </w:rPr>
        <w:t>for</w:t>
      </w:r>
      <w:r w:rsidR="00B11BAF" w:rsidRPr="003C6A66">
        <w:rPr>
          <w:bCs/>
          <w:lang w:val="en-GB"/>
        </w:rPr>
        <w:t xml:space="preserve"> </w:t>
      </w:r>
      <w:r w:rsidR="0021137D" w:rsidRPr="003C6A66">
        <w:rPr>
          <w:bCs/>
          <w:lang w:val="en-GB"/>
        </w:rPr>
        <w:t xml:space="preserve">perceived </w:t>
      </w:r>
      <w:r w:rsidR="00BC4DBB" w:rsidRPr="003C6A66">
        <w:rPr>
          <w:bCs/>
          <w:lang w:val="en-GB"/>
        </w:rPr>
        <w:t>neighbourhood</w:t>
      </w:r>
      <w:r w:rsidR="0021137D" w:rsidRPr="003C6A66">
        <w:rPr>
          <w:bCs/>
          <w:lang w:val="en-GB"/>
        </w:rPr>
        <w:t xml:space="preserve"> </w:t>
      </w:r>
      <w:r w:rsidR="008A4EB3">
        <w:rPr>
          <w:bCs/>
          <w:lang w:val="en-GB"/>
        </w:rPr>
        <w:t xml:space="preserve">greenness </w:t>
      </w:r>
      <w:r w:rsidR="000938E1">
        <w:rPr>
          <w:bCs/>
          <w:lang w:val="en-GB"/>
        </w:rPr>
        <w:t>the effect was stronger in the tertiary educated</w:t>
      </w:r>
      <w:r w:rsidR="000938E1" w:rsidRPr="003C6A66">
        <w:rPr>
          <w:bCs/>
          <w:lang w:val="en-GB"/>
        </w:rPr>
        <w:t xml:space="preserve"> </w:t>
      </w:r>
      <w:r w:rsidR="008A4EB3">
        <w:rPr>
          <w:bCs/>
          <w:lang w:val="en-GB"/>
        </w:rPr>
        <w:t>(</w:t>
      </w:r>
      <w:r w:rsidR="004E4F7A" w:rsidRPr="003C6A66">
        <w:rPr>
          <w:bCs/>
          <w:lang w:val="en-GB"/>
        </w:rPr>
        <w:t>HR 0.89</w:t>
      </w:r>
      <w:r w:rsidR="00DC42B8">
        <w:rPr>
          <w:bCs/>
          <w:lang w:val="en-GB"/>
        </w:rPr>
        <w:t>,</w:t>
      </w:r>
      <w:r w:rsidR="004E4F7A" w:rsidRPr="003C6A66">
        <w:rPr>
          <w:bCs/>
          <w:lang w:val="en-GB"/>
        </w:rPr>
        <w:t xml:space="preserve"> 95%CI: 0.8</w:t>
      </w:r>
      <w:r w:rsidR="00C1319A">
        <w:rPr>
          <w:bCs/>
          <w:lang w:val="en-GB"/>
        </w:rPr>
        <w:t>5</w:t>
      </w:r>
      <w:r w:rsidR="004E4F7A" w:rsidRPr="003C6A66">
        <w:rPr>
          <w:bCs/>
          <w:lang w:val="en-GB"/>
        </w:rPr>
        <w:t>, 0.93).</w:t>
      </w:r>
      <w:r w:rsidR="00C41401" w:rsidRPr="003C6A66">
        <w:rPr>
          <w:bCs/>
          <w:lang w:val="en-GB"/>
        </w:rPr>
        <w:t xml:space="preserve"> </w:t>
      </w:r>
      <w:r w:rsidR="00F111BD" w:rsidRPr="00305A87">
        <w:rPr>
          <w:bCs/>
          <w:lang w:val="en-GB"/>
        </w:rPr>
        <w:t>For brea</w:t>
      </w:r>
      <w:r w:rsidR="00367833" w:rsidRPr="00305A87">
        <w:rPr>
          <w:bCs/>
          <w:lang w:val="en-GB"/>
        </w:rPr>
        <w:t>s</w:t>
      </w:r>
      <w:r w:rsidR="00F111BD" w:rsidRPr="00305A87">
        <w:rPr>
          <w:bCs/>
          <w:lang w:val="en-GB"/>
        </w:rPr>
        <w:t>t cancer mortality,</w:t>
      </w:r>
      <w:r w:rsidR="00305A87" w:rsidRPr="00305A87">
        <w:rPr>
          <w:bCs/>
          <w:lang w:val="en-GB"/>
        </w:rPr>
        <w:t xml:space="preserve"> we observed that</w:t>
      </w:r>
      <w:r w:rsidR="00A13AC0" w:rsidRPr="00305A87">
        <w:rPr>
          <w:bCs/>
          <w:lang w:val="en-GB"/>
        </w:rPr>
        <w:t xml:space="preserve"> </w:t>
      </w:r>
      <w:r w:rsidR="00305A87" w:rsidRPr="001F2AD8">
        <w:rPr>
          <w:color w:val="000000"/>
          <w:lang w:val="en-GB"/>
        </w:rPr>
        <w:t>residing in areas with higher surrounding green areas was most beneficial in tertiary educated women</w:t>
      </w:r>
      <w:r w:rsidR="00797EAB" w:rsidRPr="001F2AD8">
        <w:rPr>
          <w:bCs/>
          <w:lang w:val="en-GB"/>
        </w:rPr>
        <w:t>.</w:t>
      </w:r>
      <w:r w:rsidR="009F56BD" w:rsidRPr="003C6A66">
        <w:rPr>
          <w:bCs/>
          <w:lang w:val="en-GB"/>
        </w:rPr>
        <w:t xml:space="preserve"> </w:t>
      </w:r>
      <w:r w:rsidR="00E84434" w:rsidRPr="003C6A66">
        <w:rPr>
          <w:bCs/>
          <w:lang w:val="en-GB"/>
        </w:rPr>
        <w:t>Results by quartiles of area-level SEP did not show any clear trend either</w:t>
      </w:r>
      <w:r w:rsidR="004178DD" w:rsidRPr="003C6A66">
        <w:rPr>
          <w:bCs/>
          <w:lang w:val="en-GB"/>
        </w:rPr>
        <w:t xml:space="preserve">. </w:t>
      </w:r>
      <w:r w:rsidR="00F75329" w:rsidRPr="003C6A66">
        <w:rPr>
          <w:bCs/>
          <w:lang w:val="en-GB"/>
        </w:rPr>
        <w:t xml:space="preserve">Evidence </w:t>
      </w:r>
      <w:r w:rsidR="00E7304E" w:rsidRPr="003C6A66">
        <w:rPr>
          <w:bCs/>
          <w:lang w:val="en-GB"/>
        </w:rPr>
        <w:t>of</w:t>
      </w:r>
      <w:r w:rsidR="00F75329" w:rsidRPr="003C6A66">
        <w:rPr>
          <w:bCs/>
          <w:lang w:val="en-GB"/>
        </w:rPr>
        <w:t xml:space="preserve"> s</w:t>
      </w:r>
      <w:r w:rsidR="004178DD" w:rsidRPr="003C6A66">
        <w:rPr>
          <w:bCs/>
          <w:lang w:val="en-GB"/>
        </w:rPr>
        <w:t>ignificant effect modification was only found for lung cancer mortality</w:t>
      </w:r>
      <w:r w:rsidR="00675C77">
        <w:rPr>
          <w:bCs/>
          <w:lang w:val="en-GB"/>
        </w:rPr>
        <w:t xml:space="preserve"> </w:t>
      </w:r>
      <w:r w:rsidR="00675C77" w:rsidRPr="001F2AD8">
        <w:rPr>
          <w:bCs/>
          <w:lang w:val="en-GB"/>
        </w:rPr>
        <w:t>with both exposures</w:t>
      </w:r>
      <w:r w:rsidR="002D3F01" w:rsidRPr="001F2AD8">
        <w:rPr>
          <w:bCs/>
          <w:lang w:val="en-GB"/>
        </w:rPr>
        <w:t>.</w:t>
      </w:r>
      <w:r w:rsidR="0060601E" w:rsidRPr="001F2AD8">
        <w:rPr>
          <w:bCs/>
          <w:lang w:val="en-GB"/>
        </w:rPr>
        <w:t xml:space="preserve"> </w:t>
      </w:r>
      <w:r w:rsidR="00675C77" w:rsidRPr="001F2AD8">
        <w:rPr>
          <w:bCs/>
          <w:lang w:val="en-GB"/>
        </w:rPr>
        <w:t>W</w:t>
      </w:r>
      <w:r w:rsidR="0059337C" w:rsidRPr="001F2AD8">
        <w:rPr>
          <w:bCs/>
          <w:lang w:val="en-GB"/>
        </w:rPr>
        <w:t xml:space="preserve">ith surrounding greenness </w:t>
      </w:r>
      <w:r w:rsidR="00675C77" w:rsidRPr="001F2AD8">
        <w:rPr>
          <w:bCs/>
          <w:lang w:val="en-GB"/>
        </w:rPr>
        <w:t xml:space="preserve">no considerable differences across </w:t>
      </w:r>
      <w:r w:rsidR="00970C86" w:rsidRPr="001F2AD8">
        <w:rPr>
          <w:bCs/>
          <w:lang w:val="en-GB"/>
        </w:rPr>
        <w:t>groups</w:t>
      </w:r>
      <w:r w:rsidR="00675C77" w:rsidRPr="001F2AD8">
        <w:rPr>
          <w:bCs/>
          <w:lang w:val="en-GB"/>
        </w:rPr>
        <w:t xml:space="preserve"> w</w:t>
      </w:r>
      <w:r w:rsidR="00970C86" w:rsidRPr="001F2AD8">
        <w:rPr>
          <w:bCs/>
          <w:lang w:val="en-GB"/>
        </w:rPr>
        <w:t>ere</w:t>
      </w:r>
      <w:r w:rsidR="00675C77" w:rsidRPr="001F2AD8">
        <w:rPr>
          <w:bCs/>
          <w:lang w:val="en-GB"/>
        </w:rPr>
        <w:t xml:space="preserve"> found</w:t>
      </w:r>
      <w:r w:rsidR="001A6936" w:rsidRPr="001F2AD8">
        <w:rPr>
          <w:bCs/>
          <w:lang w:val="en-GB"/>
        </w:rPr>
        <w:t>,</w:t>
      </w:r>
      <w:r w:rsidR="001A6936" w:rsidRPr="003C6A66">
        <w:rPr>
          <w:bCs/>
          <w:lang w:val="en-GB"/>
        </w:rPr>
        <w:t xml:space="preserve"> while </w:t>
      </w:r>
      <w:r w:rsidR="00710F08" w:rsidRPr="003C6A66">
        <w:rPr>
          <w:bCs/>
          <w:lang w:val="en-GB"/>
        </w:rPr>
        <w:t xml:space="preserve">with perceived </w:t>
      </w:r>
      <w:r w:rsidR="00BC4DBB" w:rsidRPr="003C6A66">
        <w:rPr>
          <w:bCs/>
          <w:lang w:val="en-GB"/>
        </w:rPr>
        <w:t>neighbourhood</w:t>
      </w:r>
      <w:r w:rsidR="00710F08" w:rsidRPr="003C6A66">
        <w:rPr>
          <w:bCs/>
          <w:lang w:val="en-GB"/>
        </w:rPr>
        <w:t xml:space="preserve"> greenness </w:t>
      </w:r>
      <w:r w:rsidR="00547441" w:rsidRPr="003C6A66">
        <w:rPr>
          <w:bCs/>
          <w:lang w:val="en-GB"/>
        </w:rPr>
        <w:t xml:space="preserve">we observed inverse associations </w:t>
      </w:r>
      <w:r w:rsidR="0018573F" w:rsidRPr="003C6A66">
        <w:rPr>
          <w:bCs/>
          <w:lang w:val="en-GB"/>
        </w:rPr>
        <w:t xml:space="preserve">in all quartiles of area-level SEP, except in </w:t>
      </w:r>
      <w:r w:rsidR="00964E16">
        <w:rPr>
          <w:bCs/>
          <w:lang w:val="en-GB"/>
        </w:rPr>
        <w:t>the second least deprived areas (</w:t>
      </w:r>
      <w:r w:rsidR="0018573F" w:rsidRPr="003C6A66">
        <w:rPr>
          <w:bCs/>
          <w:lang w:val="en-GB"/>
        </w:rPr>
        <w:t>Q2</w:t>
      </w:r>
      <w:r w:rsidR="00964E16">
        <w:rPr>
          <w:bCs/>
          <w:lang w:val="en-GB"/>
        </w:rPr>
        <w:t>)</w:t>
      </w:r>
      <w:r w:rsidR="0016260C" w:rsidRPr="00407839">
        <w:rPr>
          <w:bCs/>
          <w:lang w:val="en-GB"/>
        </w:rPr>
        <w:t>.</w:t>
      </w:r>
    </w:p>
    <w:p w14:paraId="1F201B47" w14:textId="77777777" w:rsidR="00CC4800" w:rsidRDefault="00CC4800" w:rsidP="00801558">
      <w:pPr>
        <w:spacing w:line="276" w:lineRule="auto"/>
        <w:jc w:val="both"/>
        <w:rPr>
          <w:bCs/>
          <w:lang w:val="en-GB"/>
        </w:rPr>
      </w:pPr>
    </w:p>
    <w:p w14:paraId="6999052E" w14:textId="286C9B34" w:rsidR="006B03A1" w:rsidRDefault="002D6B8A" w:rsidP="002C6069">
      <w:pPr>
        <w:spacing w:line="276" w:lineRule="auto"/>
        <w:jc w:val="both"/>
        <w:rPr>
          <w:b/>
          <w:lang w:val="en-US"/>
        </w:rPr>
      </w:pPr>
      <w:r>
        <w:rPr>
          <w:b/>
          <w:noProof/>
          <w:lang w:val="en-US"/>
        </w:rPr>
        <w:lastRenderedPageBreak/>
        <w:drawing>
          <wp:inline distT="0" distB="0" distL="0" distR="0" wp14:anchorId="698AEB09" wp14:editId="2712CE6F">
            <wp:extent cx="5731510" cy="7642225"/>
            <wp:effectExtent l="12700" t="12700" r="889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5731510" cy="7642225"/>
                    </a:xfrm>
                    <a:prstGeom prst="rect">
                      <a:avLst/>
                    </a:prstGeom>
                    <a:ln>
                      <a:solidFill>
                        <a:schemeClr val="tx1"/>
                      </a:solidFill>
                    </a:ln>
                  </pic:spPr>
                </pic:pic>
              </a:graphicData>
            </a:graphic>
          </wp:inline>
        </w:drawing>
      </w:r>
    </w:p>
    <w:p w14:paraId="20299E2E" w14:textId="622B3EC1" w:rsidR="002C6069" w:rsidRDefault="002C6069" w:rsidP="00801558">
      <w:pPr>
        <w:spacing w:line="276" w:lineRule="auto"/>
        <w:jc w:val="both"/>
        <w:rPr>
          <w:bCs/>
          <w:lang w:val="en-US"/>
        </w:rPr>
      </w:pPr>
      <w:r w:rsidRPr="00686E47">
        <w:rPr>
          <w:b/>
          <w:lang w:val="en-US"/>
        </w:rPr>
        <w:t>Figure 2.</w:t>
      </w:r>
      <w:r>
        <w:rPr>
          <w:bCs/>
          <w:lang w:val="en-US"/>
        </w:rPr>
        <w:t xml:space="preserve"> Stratified analyses of the associations between residential green spaces and site-specific cancer mortality, by age groups, educational level and quartiles of area-level SEP.</w:t>
      </w:r>
      <w:r w:rsidRPr="00AD2C76">
        <w:rPr>
          <w:bCs/>
          <w:lang w:val="en-US"/>
        </w:rPr>
        <w:t xml:space="preserve"> Cox proportional hazard models using age as the underlying time scale</w:t>
      </w:r>
      <w:r>
        <w:rPr>
          <w:bCs/>
          <w:lang w:val="en-US"/>
        </w:rPr>
        <w:t xml:space="preserve">, </w:t>
      </w:r>
      <w:r w:rsidRPr="00AD2C76">
        <w:rPr>
          <w:bCs/>
          <w:lang w:val="en-US"/>
        </w:rPr>
        <w:t>a strata term for gender and two frailty terms (one for urban area and one for census tracts within the urban area)</w:t>
      </w:r>
      <w:r>
        <w:rPr>
          <w:bCs/>
          <w:lang w:val="en-US"/>
        </w:rPr>
        <w:t>, and</w:t>
      </w:r>
      <w:r w:rsidRPr="00AD2C76">
        <w:rPr>
          <w:bCs/>
          <w:lang w:val="en-US"/>
        </w:rPr>
        <w:t xml:space="preserve"> adjusted for migrant background, educational level, housing tenure, household living </w:t>
      </w:r>
      <w:r w:rsidRPr="00AD2C76">
        <w:rPr>
          <w:bCs/>
          <w:lang w:val="en-US"/>
        </w:rPr>
        <w:lastRenderedPageBreak/>
        <w:t>arrangement and area-level SEP</w:t>
      </w:r>
      <w:r>
        <w:rPr>
          <w:bCs/>
          <w:lang w:val="en-US"/>
        </w:rPr>
        <w:t>. Asterisks</w:t>
      </w:r>
      <w:r w:rsidR="00E300A4">
        <w:rPr>
          <w:bCs/>
          <w:lang w:val="en-US"/>
        </w:rPr>
        <w:t xml:space="preserve"> </w:t>
      </w:r>
      <w:r w:rsidR="00E300A4" w:rsidRPr="001F2AD8">
        <w:rPr>
          <w:bCs/>
          <w:lang w:val="en-US"/>
        </w:rPr>
        <w:t>next to estimates</w:t>
      </w:r>
      <w:r w:rsidR="00E300A4" w:rsidRPr="00943E54">
        <w:rPr>
          <w:bCs/>
          <w:i/>
          <w:iCs/>
          <w:lang w:val="en-US"/>
        </w:rPr>
        <w:t xml:space="preserve"> </w:t>
      </w:r>
      <w:r>
        <w:rPr>
          <w:bCs/>
          <w:lang w:val="en-US"/>
        </w:rPr>
        <w:t>indicate a significant (p-value&lt;0.05) likelihood ratio test comparing our main model to the model with the interaction term between exposure and effect modifier. Five largest Belgian urban areas, 2001-2014.</w:t>
      </w:r>
    </w:p>
    <w:p w14:paraId="55F7781F" w14:textId="77777777" w:rsidR="00B207CF" w:rsidRPr="001F2AD8" w:rsidRDefault="00B207CF" w:rsidP="00B207CF">
      <w:pPr>
        <w:spacing w:line="276" w:lineRule="auto"/>
        <w:jc w:val="both"/>
        <w:rPr>
          <w:bCs/>
          <w:color w:val="000000"/>
          <w:lang w:val="en-GB"/>
        </w:rPr>
      </w:pPr>
      <w:r w:rsidRPr="001F2AD8">
        <w:rPr>
          <w:bCs/>
          <w:color w:val="000000"/>
          <w:lang w:val="en-GB"/>
        </w:rPr>
        <w:t>(*) Age groups for breast cancer mortality: 30-49 years; 50 years +.</w:t>
      </w:r>
    </w:p>
    <w:p w14:paraId="4222BB41" w14:textId="77777777" w:rsidR="00CC0587" w:rsidRPr="00B207CF" w:rsidRDefault="00CC0587" w:rsidP="00801558">
      <w:pPr>
        <w:spacing w:line="276" w:lineRule="auto"/>
        <w:jc w:val="both"/>
        <w:rPr>
          <w:bCs/>
          <w:lang w:val="en-GB"/>
        </w:rPr>
      </w:pPr>
    </w:p>
    <w:p w14:paraId="6A1C8EB5" w14:textId="541F8B24" w:rsidR="00CC0587" w:rsidRPr="001F2AD8" w:rsidRDefault="00CC0587" w:rsidP="00CC0587">
      <w:pPr>
        <w:spacing w:line="276" w:lineRule="auto"/>
        <w:jc w:val="both"/>
        <w:rPr>
          <w:bCs/>
          <w:lang w:val="en-GB"/>
        </w:rPr>
      </w:pPr>
      <w:r w:rsidRPr="000D7C27">
        <w:rPr>
          <w:bCs/>
          <w:lang w:val="en-GB"/>
        </w:rPr>
        <w:t>In sensitivity analyses</w:t>
      </w:r>
      <w:r w:rsidRPr="003C6A66">
        <w:rPr>
          <w:bCs/>
          <w:lang w:val="en-GB"/>
        </w:rPr>
        <w:t xml:space="preserve"> we</w:t>
      </w:r>
      <w:r w:rsidR="00393ED2">
        <w:rPr>
          <w:bCs/>
          <w:lang w:val="en-GB"/>
        </w:rPr>
        <w:t xml:space="preserve"> used different buffer sizes for surrounding green spaces,</w:t>
      </w:r>
      <w:r w:rsidRPr="003C6A66">
        <w:rPr>
          <w:bCs/>
          <w:lang w:val="en-GB"/>
        </w:rPr>
        <w:t xml:space="preserve"> limited our analyses to non-movers, residents with Belgian origin, a healthy subpopulation and individuals residing in the city (Table S</w:t>
      </w:r>
      <w:r w:rsidR="000045B8">
        <w:rPr>
          <w:bCs/>
          <w:lang w:val="en-GB"/>
        </w:rPr>
        <w:t>7</w:t>
      </w:r>
      <w:r w:rsidRPr="003C6A66">
        <w:rPr>
          <w:bCs/>
          <w:lang w:val="en-GB"/>
        </w:rPr>
        <w:t xml:space="preserve">). </w:t>
      </w:r>
      <w:r w:rsidR="00C07779">
        <w:rPr>
          <w:bCs/>
          <w:lang w:val="en-GB"/>
        </w:rPr>
        <w:t>S</w:t>
      </w:r>
      <w:r w:rsidR="0002405B" w:rsidRPr="003C6A66">
        <w:rPr>
          <w:bCs/>
          <w:lang w:val="en-GB"/>
        </w:rPr>
        <w:t xml:space="preserve">ensitivity analyses </w:t>
      </w:r>
      <w:r w:rsidR="0002405B">
        <w:rPr>
          <w:bCs/>
          <w:lang w:val="en-GB"/>
        </w:rPr>
        <w:t xml:space="preserve">were </w:t>
      </w:r>
      <w:r w:rsidRPr="003C6A66">
        <w:rPr>
          <w:bCs/>
          <w:lang w:val="en-GB"/>
        </w:rPr>
        <w:t>generally in line with the</w:t>
      </w:r>
      <w:r w:rsidR="0002405B">
        <w:rPr>
          <w:bCs/>
          <w:lang w:val="en-GB"/>
        </w:rPr>
        <w:t xml:space="preserve"> </w:t>
      </w:r>
      <w:r w:rsidR="00C07779">
        <w:rPr>
          <w:bCs/>
          <w:lang w:val="en-GB"/>
        </w:rPr>
        <w:t>results</w:t>
      </w:r>
      <w:r w:rsidR="005303BD">
        <w:rPr>
          <w:bCs/>
          <w:lang w:val="en-GB"/>
        </w:rPr>
        <w:t xml:space="preserve"> of main analyses</w:t>
      </w:r>
      <w:r w:rsidR="0002405B">
        <w:rPr>
          <w:bCs/>
          <w:lang w:val="en-GB"/>
        </w:rPr>
        <w:t xml:space="preserve">. </w:t>
      </w:r>
      <w:r w:rsidR="00393ED2">
        <w:rPr>
          <w:bCs/>
          <w:lang w:val="en-GB"/>
        </w:rPr>
        <w:t>R</w:t>
      </w:r>
      <w:r w:rsidRPr="003C6A66">
        <w:rPr>
          <w:bCs/>
          <w:lang w:val="en-GB"/>
        </w:rPr>
        <w:t xml:space="preserve">esidential green spaces </w:t>
      </w:r>
      <w:r w:rsidR="00DC0B0A" w:rsidRPr="001F2AD8">
        <w:rPr>
          <w:color w:val="000000"/>
          <w:lang w:val="en-GB"/>
        </w:rPr>
        <w:t>generally had</w:t>
      </w:r>
      <w:r w:rsidR="00DC0B0A" w:rsidRPr="003916AB">
        <w:rPr>
          <w:i/>
          <w:iCs/>
          <w:color w:val="000000"/>
          <w:lang w:val="en-GB"/>
        </w:rPr>
        <w:t xml:space="preserve"> </w:t>
      </w:r>
      <w:r w:rsidRPr="003C6A66">
        <w:rPr>
          <w:bCs/>
          <w:lang w:val="en-GB"/>
        </w:rPr>
        <w:t>a stronger beneficial effect for site-specific cancer mortality in the subgroups</w:t>
      </w:r>
      <w:r w:rsidR="0031536C">
        <w:rPr>
          <w:bCs/>
          <w:lang w:val="en-GB"/>
        </w:rPr>
        <w:t xml:space="preserve"> analysed</w:t>
      </w:r>
      <w:r w:rsidR="002C77B8">
        <w:rPr>
          <w:i/>
          <w:iCs/>
          <w:color w:val="000000"/>
          <w:lang w:val="en-GB"/>
        </w:rPr>
        <w:t xml:space="preserve">, </w:t>
      </w:r>
      <w:r w:rsidR="002C77B8" w:rsidRPr="001F2AD8">
        <w:rPr>
          <w:color w:val="000000"/>
          <w:lang w:val="en-GB"/>
        </w:rPr>
        <w:t>with some exceptions</w:t>
      </w:r>
      <w:r w:rsidRPr="001F2AD8">
        <w:rPr>
          <w:bCs/>
          <w:lang w:val="en-GB"/>
        </w:rPr>
        <w:t>.</w:t>
      </w:r>
      <w:r w:rsidRPr="003C6A66">
        <w:rPr>
          <w:bCs/>
          <w:lang w:val="en-GB"/>
        </w:rPr>
        <w:t xml:space="preserve"> The </w:t>
      </w:r>
      <w:r w:rsidR="0002405B">
        <w:rPr>
          <w:bCs/>
          <w:lang w:val="en-GB"/>
        </w:rPr>
        <w:t>only</w:t>
      </w:r>
      <w:r w:rsidRPr="003C6A66">
        <w:rPr>
          <w:bCs/>
          <w:lang w:val="en-GB"/>
        </w:rPr>
        <w:t xml:space="preserve"> exception was </w:t>
      </w:r>
      <w:r w:rsidR="0002405B">
        <w:rPr>
          <w:bCs/>
          <w:lang w:val="en-GB"/>
        </w:rPr>
        <w:t xml:space="preserve">observed for the association </w:t>
      </w:r>
      <w:r w:rsidR="004477E5">
        <w:rPr>
          <w:bCs/>
          <w:lang w:val="en-GB"/>
        </w:rPr>
        <w:t>between perceived neighbourhood greenness and</w:t>
      </w:r>
      <w:r w:rsidRPr="003C6A66">
        <w:rPr>
          <w:bCs/>
          <w:lang w:val="en-GB"/>
        </w:rPr>
        <w:t xml:space="preserve"> breast cancer mortality in the healthy subpopulation</w:t>
      </w:r>
      <w:r w:rsidR="004477E5">
        <w:rPr>
          <w:bCs/>
          <w:lang w:val="en-GB"/>
        </w:rPr>
        <w:t xml:space="preserve">, </w:t>
      </w:r>
      <w:r w:rsidR="0002405B">
        <w:rPr>
          <w:bCs/>
          <w:lang w:val="en-GB"/>
        </w:rPr>
        <w:t xml:space="preserve">with a null and non-significant </w:t>
      </w:r>
      <w:r w:rsidR="006B419D">
        <w:rPr>
          <w:bCs/>
          <w:lang w:val="en-GB"/>
        </w:rPr>
        <w:t>association</w:t>
      </w:r>
      <w:r w:rsidRPr="003C6A66">
        <w:rPr>
          <w:bCs/>
          <w:lang w:val="en-GB"/>
        </w:rPr>
        <w:t>.</w:t>
      </w:r>
      <w:r w:rsidR="00BF3854" w:rsidRPr="001F2AD8">
        <w:rPr>
          <w:color w:val="000000"/>
          <w:lang w:val="en-GB"/>
        </w:rPr>
        <w:t xml:space="preserve"> In addition, the associations between surrounding green areas and prostate cancer mortality, when limiting the analyses to residents originating from Belgium, the healthy subpopulation, and individuals residing in the city, strengthened and became significantly positive (e.g., for the healthy subpopulation: HR 1.12; 95%CI: 1.04, 1.21).</w:t>
      </w:r>
    </w:p>
    <w:p w14:paraId="4DA67DA5" w14:textId="77777777" w:rsidR="00375C3F" w:rsidRPr="00AE22A9" w:rsidRDefault="00375C3F" w:rsidP="00801558">
      <w:pPr>
        <w:spacing w:line="276" w:lineRule="auto"/>
        <w:jc w:val="both"/>
        <w:rPr>
          <w:bCs/>
          <w:lang w:val="en-GB"/>
        </w:rPr>
      </w:pPr>
    </w:p>
    <w:p w14:paraId="2FDB1F62" w14:textId="360DF18D" w:rsidR="00375C3F" w:rsidRDefault="00A44473" w:rsidP="00801558">
      <w:pPr>
        <w:spacing w:line="276" w:lineRule="auto"/>
        <w:jc w:val="both"/>
        <w:rPr>
          <w:b/>
          <w:lang w:val="en-GB"/>
        </w:rPr>
      </w:pPr>
      <w:r>
        <w:rPr>
          <w:b/>
          <w:lang w:val="en-GB"/>
        </w:rPr>
        <w:t xml:space="preserve">4. </w:t>
      </w:r>
      <w:r w:rsidR="00375C3F" w:rsidRPr="003C6A66">
        <w:rPr>
          <w:b/>
          <w:lang w:val="en-GB"/>
        </w:rPr>
        <w:t>Discussion</w:t>
      </w:r>
    </w:p>
    <w:p w14:paraId="5D529046" w14:textId="0891DE28" w:rsidR="00A44473" w:rsidRPr="001F2AD8" w:rsidRDefault="00A44473" w:rsidP="00801558">
      <w:pPr>
        <w:spacing w:line="276" w:lineRule="auto"/>
        <w:jc w:val="both"/>
        <w:rPr>
          <w:b/>
          <w:lang w:val="en-GB"/>
        </w:rPr>
      </w:pPr>
      <w:r w:rsidRPr="001F2AD8">
        <w:rPr>
          <w:b/>
          <w:lang w:val="en-GB"/>
        </w:rPr>
        <w:t>4.1. Summary of main findings</w:t>
      </w:r>
    </w:p>
    <w:p w14:paraId="4F669A56" w14:textId="090F97A2" w:rsidR="009B0BE6" w:rsidRDefault="00EF508D" w:rsidP="00D35E91">
      <w:pPr>
        <w:spacing w:line="276" w:lineRule="auto"/>
        <w:jc w:val="both"/>
        <w:rPr>
          <w:bCs/>
          <w:lang w:val="en-GB"/>
        </w:rPr>
      </w:pPr>
      <w:r w:rsidRPr="003C6A66">
        <w:rPr>
          <w:bCs/>
          <w:lang w:val="en-GB"/>
        </w:rPr>
        <w:t>In this</w:t>
      </w:r>
      <w:r w:rsidR="001B36F9" w:rsidRPr="003C6A66">
        <w:rPr>
          <w:bCs/>
          <w:lang w:val="en-GB"/>
        </w:rPr>
        <w:t xml:space="preserve"> census-based</w:t>
      </w:r>
      <w:r w:rsidRPr="003C6A66">
        <w:rPr>
          <w:bCs/>
          <w:lang w:val="en-GB"/>
        </w:rPr>
        <w:t xml:space="preserve"> longitudinal study</w:t>
      </w:r>
      <w:r w:rsidR="0031581A">
        <w:rPr>
          <w:bCs/>
          <w:lang w:val="en-GB"/>
        </w:rPr>
        <w:t xml:space="preserve"> including the </w:t>
      </w:r>
      <w:r w:rsidR="0050169A">
        <w:rPr>
          <w:bCs/>
          <w:lang w:val="en-GB"/>
        </w:rPr>
        <w:t>five largest urban areas in Belgium,</w:t>
      </w:r>
      <w:r w:rsidRPr="003C6A66">
        <w:rPr>
          <w:bCs/>
          <w:lang w:val="en-GB"/>
        </w:rPr>
        <w:t xml:space="preserve"> </w:t>
      </w:r>
      <w:r w:rsidR="001B36F9" w:rsidRPr="003C6A66">
        <w:rPr>
          <w:bCs/>
          <w:lang w:val="en-GB"/>
        </w:rPr>
        <w:t>we observed that exposure to residential green spaces was associated with decreased risk of dying from lung cancer mortality in the total population</w:t>
      </w:r>
      <w:r w:rsidR="005A52B5" w:rsidRPr="003C6A66">
        <w:rPr>
          <w:bCs/>
          <w:lang w:val="en-GB"/>
        </w:rPr>
        <w:t xml:space="preserve"> and from breast cancer mortality in women. For lung cancer mortality, the findings differed by gender and by </w:t>
      </w:r>
      <w:r w:rsidR="009D2D8C" w:rsidRPr="003C6A66">
        <w:rPr>
          <w:bCs/>
          <w:lang w:val="en-GB"/>
        </w:rPr>
        <w:t xml:space="preserve">exposure assessment method: men seemed to benefit more from residing in a </w:t>
      </w:r>
      <w:r w:rsidR="007446AA" w:rsidRPr="003C6A66">
        <w:rPr>
          <w:bCs/>
          <w:lang w:val="en-GB"/>
        </w:rPr>
        <w:t>neighbourhood</w:t>
      </w:r>
      <w:r w:rsidR="009D2D8C" w:rsidRPr="003C6A66">
        <w:rPr>
          <w:bCs/>
          <w:lang w:val="en-GB"/>
        </w:rPr>
        <w:t xml:space="preserve"> with an overall positive</w:t>
      </w:r>
      <w:r w:rsidR="007B0B91" w:rsidRPr="003C6A66">
        <w:rPr>
          <w:bCs/>
          <w:lang w:val="en-GB"/>
        </w:rPr>
        <w:t xml:space="preserve"> perception of greenspace provision, while</w:t>
      </w:r>
      <w:r w:rsidR="004B23C9" w:rsidRPr="003C6A66">
        <w:rPr>
          <w:bCs/>
          <w:lang w:val="en-GB"/>
        </w:rPr>
        <w:t xml:space="preserve"> </w:t>
      </w:r>
      <w:r w:rsidR="00774C6F" w:rsidRPr="003C6A66">
        <w:rPr>
          <w:bCs/>
          <w:lang w:val="en-GB"/>
        </w:rPr>
        <w:t>for</w:t>
      </w:r>
      <w:r w:rsidR="007B0B91" w:rsidRPr="003C6A66">
        <w:rPr>
          <w:bCs/>
          <w:lang w:val="en-GB"/>
        </w:rPr>
        <w:t xml:space="preserve"> women </w:t>
      </w:r>
      <w:r w:rsidR="004B23C9" w:rsidRPr="003C6A66">
        <w:rPr>
          <w:bCs/>
          <w:lang w:val="en-GB"/>
        </w:rPr>
        <w:t xml:space="preserve">the protective association of residing near greener areas was stronger </w:t>
      </w:r>
      <w:r w:rsidR="00E3276E" w:rsidRPr="003C6A66">
        <w:rPr>
          <w:bCs/>
          <w:lang w:val="en-GB"/>
        </w:rPr>
        <w:t>when using</w:t>
      </w:r>
      <w:r w:rsidR="004B23C9" w:rsidRPr="003C6A66">
        <w:rPr>
          <w:bCs/>
          <w:lang w:val="en-GB"/>
        </w:rPr>
        <w:t xml:space="preserve"> </w:t>
      </w:r>
      <w:r w:rsidR="00580921" w:rsidRPr="003C6A66">
        <w:rPr>
          <w:bCs/>
          <w:lang w:val="en-GB"/>
        </w:rPr>
        <w:t>indicators</w:t>
      </w:r>
      <w:r w:rsidR="00580921">
        <w:rPr>
          <w:bCs/>
          <w:lang w:val="en-GB"/>
        </w:rPr>
        <w:t xml:space="preserve"> based on remote sensing and land-use classification</w:t>
      </w:r>
      <w:r w:rsidR="004B23C9" w:rsidRPr="003C6A66">
        <w:rPr>
          <w:bCs/>
          <w:lang w:val="en-GB"/>
        </w:rPr>
        <w:t xml:space="preserve">. </w:t>
      </w:r>
      <w:r w:rsidR="003B7356" w:rsidRPr="003C6A66">
        <w:rPr>
          <w:bCs/>
          <w:lang w:val="en-GB"/>
        </w:rPr>
        <w:t xml:space="preserve">We did not observe </w:t>
      </w:r>
      <w:r w:rsidR="00947B95" w:rsidRPr="003C6A66">
        <w:rPr>
          <w:bCs/>
          <w:lang w:val="en-GB"/>
        </w:rPr>
        <w:t xml:space="preserve">significant associations between exposure to green spaces and colorectal </w:t>
      </w:r>
      <w:r w:rsidR="007143B5" w:rsidRPr="003C6A66">
        <w:rPr>
          <w:bCs/>
          <w:lang w:val="en-GB"/>
        </w:rPr>
        <w:t>cancer mortality</w:t>
      </w:r>
      <w:r w:rsidR="00993AD3">
        <w:rPr>
          <w:bCs/>
          <w:lang w:val="en-GB"/>
        </w:rPr>
        <w:t xml:space="preserve"> after full adjustment</w:t>
      </w:r>
      <w:r w:rsidR="007143B5" w:rsidRPr="001F2AD8">
        <w:rPr>
          <w:bCs/>
          <w:lang w:val="en-GB"/>
        </w:rPr>
        <w:t xml:space="preserve">. </w:t>
      </w:r>
      <w:r w:rsidR="009B0BE6" w:rsidRPr="001F2AD8">
        <w:rPr>
          <w:bCs/>
          <w:lang w:val="en-GB"/>
        </w:rPr>
        <w:t>We found a suggestive hazardous effect of greenspace exposure on prostate cancer mortality. The role of air pollution mitigation seemed to be only marginal in the associations between exposure to green spaces and lung cancer mortality. We also found</w:t>
      </w:r>
      <w:r w:rsidR="009B0BE6" w:rsidRPr="00012EFC">
        <w:rPr>
          <w:bCs/>
          <w:i/>
          <w:iCs/>
          <w:lang w:val="en-GB"/>
        </w:rPr>
        <w:t xml:space="preserve"> </w:t>
      </w:r>
      <w:r w:rsidR="00375C83" w:rsidRPr="003C6A66">
        <w:rPr>
          <w:bCs/>
          <w:lang w:val="en-GB"/>
        </w:rPr>
        <w:t xml:space="preserve">stronger </w:t>
      </w:r>
      <w:r w:rsidR="00501F34" w:rsidRPr="003C6A66">
        <w:rPr>
          <w:bCs/>
          <w:lang w:val="en-GB"/>
        </w:rPr>
        <w:t xml:space="preserve">beneficial </w:t>
      </w:r>
      <w:r w:rsidR="00375C83" w:rsidRPr="003C6A66">
        <w:rPr>
          <w:bCs/>
          <w:lang w:val="en-GB"/>
        </w:rPr>
        <w:t>associations</w:t>
      </w:r>
      <w:r w:rsidR="00501F34" w:rsidRPr="003C6A66">
        <w:rPr>
          <w:bCs/>
          <w:lang w:val="en-GB"/>
        </w:rPr>
        <w:t xml:space="preserve"> for individuals younger than 65 years old</w:t>
      </w:r>
      <w:r w:rsidR="00C07779">
        <w:rPr>
          <w:bCs/>
          <w:lang w:val="en-GB"/>
        </w:rPr>
        <w:t>, but n</w:t>
      </w:r>
      <w:r w:rsidR="00501F34" w:rsidRPr="003C6A66">
        <w:rPr>
          <w:bCs/>
          <w:lang w:val="en-GB"/>
        </w:rPr>
        <w:t>o clear trends were found for</w:t>
      </w:r>
      <w:r w:rsidR="008D60A6" w:rsidRPr="003C6A66">
        <w:rPr>
          <w:bCs/>
          <w:lang w:val="en-GB"/>
        </w:rPr>
        <w:t xml:space="preserve"> educational level or area-level socioeconomic position.</w:t>
      </w:r>
    </w:p>
    <w:p w14:paraId="159B10E7" w14:textId="77777777" w:rsidR="00266E56" w:rsidRPr="001F2AD8" w:rsidRDefault="00266E56" w:rsidP="00266E56">
      <w:pPr>
        <w:spacing w:line="276" w:lineRule="auto"/>
        <w:jc w:val="both"/>
        <w:rPr>
          <w:b/>
          <w:lang w:val="en-GB"/>
        </w:rPr>
      </w:pPr>
      <w:r w:rsidRPr="001F2AD8">
        <w:rPr>
          <w:b/>
          <w:lang w:val="en-GB"/>
        </w:rPr>
        <w:t>4.2. Comparison with previous studies</w:t>
      </w:r>
    </w:p>
    <w:p w14:paraId="78E431F3" w14:textId="5822AAFF" w:rsidR="00266E56" w:rsidRPr="001F2AD8" w:rsidRDefault="00266E56" w:rsidP="00266E56">
      <w:pPr>
        <w:spacing w:line="276" w:lineRule="auto"/>
        <w:jc w:val="both"/>
        <w:rPr>
          <w:bCs/>
          <w:lang w:val="en-GB"/>
        </w:rPr>
      </w:pPr>
      <w:r w:rsidRPr="001F2AD8">
        <w:rPr>
          <w:bCs/>
          <w:lang w:val="en-GB"/>
        </w:rPr>
        <w:t xml:space="preserve">Few studies have focussed on green spaces and cancer mortality. A longitudinal study with a similar study design as ours observed a 15% reduction in mortality rates from all cancer types when exposed to surrounding greenness in a cohort of female nurses </w:t>
      </w:r>
      <w:r w:rsidRPr="001F2AD8">
        <w:rPr>
          <w:bCs/>
          <w:lang w:val="en-GB"/>
        </w:rPr>
        <w:fldChar w:fldCharType="begin" w:fldLock="1"/>
      </w:r>
      <w:r w:rsidRPr="001F2AD8">
        <w:rPr>
          <w:bCs/>
          <w:lang w:val="en-GB"/>
        </w:rPr>
        <w:instrText>ADDIN CSL_CITATION {"citationItems":[{"id":"ITEM-1","itemData":{"DOI":"https://doi.org/10.1289/ehp.1510363","author":[{"dropping-particle":"","family":"James","given":"Peter","non-dropping-particle":"","parse-names":false,"suffix":""},{"dropping-particle":"","family":"Hart","given":"Jaime E","non-dropping-particle":"","parse-names":false,"suffix":""},{"dropping-particle":"","family":"Banay","given":"Rachel F","non-dropping-particle":"","parse-names":false,"suffix":""},{"dropping-particle":"","family":"Laden","given":"Francine","non-dropping-particle":"","parse-names":false,"suffix":""}],"container-title":"Environmental Health Perspectives","id":"ITEM-1","issue":"9","issued":{"date-parts":[["2016"]]},"page":"1344-1352","title":"Exposure to Greenness and Mortality in a Nationwide Prospective Cohort Study of Women","type":"article-journal","volume":"124"},"uris":["http://www.mendeley.com/documents/?uuid=3cd33a22-8a2e-4fcb-be74-437806fb9a42"]}],"mendeley":{"formattedCitation":"(James et al., 2016)","plainTextFormattedCitation":"(James et al., 2016)","previouslyFormattedCitation":"(James et al., 2016)"},"properties":{"noteIndex":0},"schema":"https://github.com/citation-style-language/schema/raw/master/csl-citation.json"}</w:instrText>
      </w:r>
      <w:r w:rsidRPr="001F2AD8">
        <w:rPr>
          <w:bCs/>
          <w:lang w:val="en-GB"/>
        </w:rPr>
        <w:fldChar w:fldCharType="separate"/>
      </w:r>
      <w:r w:rsidRPr="001F2AD8">
        <w:rPr>
          <w:bCs/>
          <w:noProof/>
          <w:lang w:val="en-GB"/>
        </w:rPr>
        <w:t>(James et al., 2016)</w:t>
      </w:r>
      <w:r w:rsidRPr="001F2AD8">
        <w:rPr>
          <w:bCs/>
          <w:lang w:val="en-GB"/>
        </w:rPr>
        <w:fldChar w:fldCharType="end"/>
      </w:r>
      <w:r w:rsidRPr="001F2AD8">
        <w:rPr>
          <w:bCs/>
          <w:lang w:val="en-GB"/>
        </w:rPr>
        <w:t xml:space="preserve">. As far as we are aware, only lung cancer mortality has been studied separately. Our findings are in line with those of a recent registry-based study in the Netherlands, where they observed reduced lung cancer mortality risk with </w:t>
      </w:r>
      <w:r w:rsidR="003E4877" w:rsidRPr="001F2AD8">
        <w:rPr>
          <w:bCs/>
          <w:lang w:val="en-GB"/>
        </w:rPr>
        <w:t>higher exposure to green spaces</w:t>
      </w:r>
      <w:r w:rsidRPr="001F2AD8">
        <w:rPr>
          <w:bCs/>
          <w:lang w:val="en-GB"/>
        </w:rPr>
        <w:t xml:space="preserve"> </w:t>
      </w:r>
      <w:r w:rsidRPr="001F2AD8">
        <w:rPr>
          <w:bCs/>
          <w:lang w:val="en-GB"/>
        </w:rPr>
        <w:fldChar w:fldCharType="begin" w:fldLock="1"/>
      </w:r>
      <w:r w:rsidRPr="001F2AD8">
        <w:rPr>
          <w:bCs/>
          <w:lang w:val="en-GB"/>
        </w:rPr>
        <w:instrText>ADDIN CSL_CITATION {"citationItems":[{"id":"ITEM-1","itemData":{"DOI":"10.1186/s12940-021-00769-0","ISSN":"1476-069X","abstract":"Everyday people are exposed to multiple environmental factors, such as surrounding green, air pollution and traffic noise. These exposures are generally spatially correlated. Hence, when estimating associations of surrounding green, air pollution or traffic noise with health outcomes, the other exposures should be taken into account. The aim of this study was to evaluate associations of long-term residential exposure to surrounding green, air pollution and traffic noise with mortality.","author":[{"dropping-particle":"","family":"Klompmaker","given":"Jochem O","non-dropping-particle":"","parse-names":false,"suffix":""},{"dropping-particle":"","family":"Janssen","given":"Nicole A H","non-dropping-particle":"","parse-names":false,"suffix":""},{"dropping-particle":"","family":"Bloemsma","given":"Lizan D","non-dropping-particle":"","parse-names":false,"suffix":""},{"dropping-particle":"","family":"Marra","given":"Marten","non-dropping-particle":"","parse-names":false,"suffix":""},{"dropping-particle":"","family":"Lebret","given":"Erik","non-dropping-particle":"","parse-names":false,"suffix":""},{"dropping-particle":"","family":"Gehring","given":"Ulrike","non-dropping-particle":"","parse-names":false,"suffix":""},{"dropping-particle":"","family":"Hoek","given":"Gerard","non-dropping-particle":"","parse-names":false,"suffix":""}],"container-title":"Environmental Health","id":"ITEM-1","issue":"1","issued":{"date-parts":[["2021"]]},"page":"82","title":"Effects of exposure to surrounding green, air pollution and traffic noise with non-accidental and cause-specific mortality in the Dutch national cohort","type":"article-journal","volume":"20"},"uris":["http://www.mendeley.com/documents/?uuid=19e43259-86d0-48de-b4c3-b13fad25df26"]}],"mendeley":{"formattedCitation":"(Klompmaker et al., 2021)","plainTextFormattedCitation":"(Klompmaker et al., 2021)","previouslyFormattedCitation":"(Klompmaker et al., 2021)"},"properties":{"noteIndex":0},"schema":"https://github.com/citation-style-language/schema/raw/master/csl-citation.json"}</w:instrText>
      </w:r>
      <w:r w:rsidRPr="001F2AD8">
        <w:rPr>
          <w:bCs/>
          <w:lang w:val="en-GB"/>
        </w:rPr>
        <w:fldChar w:fldCharType="separate"/>
      </w:r>
      <w:r w:rsidRPr="001F2AD8">
        <w:rPr>
          <w:bCs/>
          <w:noProof/>
          <w:lang w:val="en-GB"/>
        </w:rPr>
        <w:t>(Klompmaker et al., 2021)</w:t>
      </w:r>
      <w:r w:rsidRPr="001F2AD8">
        <w:rPr>
          <w:bCs/>
          <w:lang w:val="en-GB"/>
        </w:rPr>
        <w:fldChar w:fldCharType="end"/>
      </w:r>
      <w:r w:rsidRPr="001F2AD8">
        <w:rPr>
          <w:bCs/>
          <w:lang w:val="en-GB"/>
        </w:rPr>
        <w:t xml:space="preserve">. </w:t>
      </w:r>
      <w:r w:rsidR="004C0989" w:rsidRPr="001F2AD8">
        <w:rPr>
          <w:bCs/>
          <w:lang w:val="en-GB"/>
        </w:rPr>
        <w:t>However</w:t>
      </w:r>
      <w:r w:rsidRPr="001F2AD8">
        <w:rPr>
          <w:bCs/>
          <w:lang w:val="en-GB"/>
        </w:rPr>
        <w:t xml:space="preserve">, most previous studies reported null associations between greenspace </w:t>
      </w:r>
      <w:r w:rsidRPr="001F2AD8">
        <w:rPr>
          <w:bCs/>
          <w:lang w:val="en-GB"/>
        </w:rPr>
        <w:lastRenderedPageBreak/>
        <w:t xml:space="preserve">exposure and lung cancer mortality. This includes a longitudinal study using a health survey of around 300,000 participants linked to mortality register data for a four-year period (2013-2017) </w:t>
      </w:r>
      <w:r w:rsidRPr="001F2AD8">
        <w:rPr>
          <w:bCs/>
          <w:lang w:val="en-GB"/>
        </w:rPr>
        <w:fldChar w:fldCharType="begin" w:fldLock="1"/>
      </w:r>
      <w:r w:rsidRPr="001F2AD8">
        <w:rPr>
          <w:bCs/>
          <w:lang w:val="en-GB"/>
        </w:rPr>
        <w:instrText>ADDIN CSL_CITATION {"citationItems":[{"id":"ITEM-1","itemData":{"DOI":"https://doi.org/10.1016/j.envint.2019.105341","ISSN":"0160-4120","abstract":"Background Most previous studies that investigated associations of surrounding green, air pollution or traffic noise with mortality focused on single exposures. Objectives The aim of this study was to evaluate combined associations of long-term residential exposure to surrounding green, air pollution and traffic noise with total non-accidental and cause-specific mortality. Methods We linked a national health survey (Public Health Monitor, PHM) conducted in 2012 to the Dutch longitudinal mortality database. Subjects of the survey who were 30 years or older on 1 January 2013 (n = 339,633) were followed from 1 January 2013 till 31 December 2017. We used Cox proportional hazard models to evaluate associations of residential surrounding green (including the average Normalized Difference Vegetation Index (NDVI) in buffers of 300 m and 1000 m), annual average air pollutant concentrations (including particulate matter (PM10, PM2.5), nitrogen dioxide (NO2)) and traffic noise with non-accidental, circulatory disease, respiratory disease, lung cancer and neurodegenerative disease mortality. Results We observed 26,886 non-accidental deaths over 1.627.365 person-years of follow-up. Surrounding green, air pollution and traffic noise exposure were not significantly associated with non-accidental or cause-specific mortality. For non-accidental mortality, we found a hazard ratio (HR) of 0.99 (0.98, 1.01) per IQR increase in NDVI 300 m, a HR of 0.99 (95% CI: 0.97, 1.01) per IQR increase in NO2, a HR of 0.98 (0.97, 1.00) per IQR increase in PM2.5 and a HR of 0.99 (95% CI: 0.97, 1.01) per IQR increase in road-traffic noise. Analyses restricted to non-movers or excluding subjects aged 85+ years did not change the findings. Conclusion We found no evidence for associations of long-term residential exposures to surrounding green, air pollution and traffic noise with non-accidental or cause-specific mortality in a large population based survey in the Netherlands, possibly related to the relatively short follow-up period.","author":[{"dropping-particle":"","family":"Klompmaker","given":"Jochem O","non-dropping-particle":"","parse-names":false,"suffix":""},{"dropping-particle":"","family":"Hoek","given":"Gerard","non-dropping-particle":"","parse-names":false,"suffix":""},{"dropping-particle":"","family":"Bloemsma","given":"Lizan D","non-dropping-particle":"","parse-names":false,"suffix":""},{"dropping-particle":"","family":"Marra","given":"Marten","non-dropping-particle":"","parse-names":false,"suffix":""},{"dropping-particle":"","family":"Wijga","given":"Alet H","non-dropping-particle":"","parse-names":false,"suffix":""},{"dropping-particle":"","family":"Brink","given":"Carolien","non-dropping-particle":"van den","parse-names":false,"suffix":""},{"dropping-particle":"","family":"Brunekreef","given":"Bert","non-dropping-particle":"","parse-names":false,"suffix":""},{"dropping-particle":"","family":"Lebret","given":"Erik","non-dropping-particle":"","parse-names":false,"suffix":""},{"dropping-particle":"","family":"Gehring","given":"Ulrike","non-dropping-particle":"","parse-names":false,"suffix":""},{"dropping-particle":"","family":"Janssen","given":"Nicole A H","non-dropping-particle":"","parse-names":false,"suffix":""}],"container-title":"Environment International","id":"ITEM-1","issued":{"date-parts":[["2020"]]},"page":"105341","title":"Surrounding green, air pollution, traffic noise exposure and non-accidental and cause-specific mortality","type":"article-journal","volume":"134"},"uris":["http://www.mendeley.com/documents/?uuid=945f8fad-4afc-4fe9-837f-2bdd8f0b0ce0"]}],"mendeley":{"formattedCitation":"(Klompmaker et al., 2020)","plainTextFormattedCitation":"(Klompmaker et al., 2020)","previouslyFormattedCitation":"(Klompmaker et al., 2020)"},"properties":{"noteIndex":0},"schema":"https://github.com/citation-style-language/schema/raw/master/csl-citation.json"}</w:instrText>
      </w:r>
      <w:r w:rsidRPr="001F2AD8">
        <w:rPr>
          <w:bCs/>
          <w:lang w:val="en-GB"/>
        </w:rPr>
        <w:fldChar w:fldCharType="separate"/>
      </w:r>
      <w:r w:rsidRPr="001F2AD8">
        <w:rPr>
          <w:bCs/>
          <w:noProof/>
          <w:lang w:val="en-GB"/>
        </w:rPr>
        <w:t>(Klompmaker et al., 2020)</w:t>
      </w:r>
      <w:r w:rsidRPr="001F2AD8">
        <w:rPr>
          <w:bCs/>
          <w:lang w:val="en-GB"/>
        </w:rPr>
        <w:fldChar w:fldCharType="end"/>
      </w:r>
      <w:r w:rsidRPr="001F2AD8">
        <w:rPr>
          <w:bCs/>
          <w:lang w:val="en-GB"/>
        </w:rPr>
        <w:t xml:space="preserve">. Potentially this study lacked statistical power to detect associations due to a smaller sample size and shorter follow-up period. Remaining studies reporting null associations were cross-sectional </w:t>
      </w:r>
      <w:r w:rsidR="006C1AF1" w:rsidRPr="001F2AD8">
        <w:rPr>
          <w:bCs/>
          <w:lang w:val="en-GB"/>
        </w:rPr>
        <w:t>and used area rather than individual-level</w:t>
      </w:r>
      <w:r w:rsidR="006C1AF1" w:rsidRPr="005C562B">
        <w:rPr>
          <w:bCs/>
          <w:lang w:val="en-GB"/>
        </w:rPr>
        <w:t xml:space="preserve"> measures to assess exposure to green spaces, which may</w:t>
      </w:r>
      <w:r w:rsidR="006C1AF1" w:rsidRPr="00012EFC">
        <w:rPr>
          <w:bCs/>
          <w:i/>
          <w:iCs/>
          <w:lang w:val="en-GB"/>
        </w:rPr>
        <w:t xml:space="preserve"> </w:t>
      </w:r>
      <w:r w:rsidR="006C1AF1" w:rsidRPr="001F2AD8">
        <w:rPr>
          <w:bCs/>
          <w:lang w:val="en-GB"/>
        </w:rPr>
        <w:t xml:space="preserve">lead to exposure misclassification </w:t>
      </w:r>
      <w:r w:rsidRPr="001F2AD8">
        <w:rPr>
          <w:bCs/>
          <w:lang w:val="en-GB"/>
        </w:rPr>
        <w:fldChar w:fldCharType="begin" w:fldLock="1"/>
      </w:r>
      <w:r w:rsidRPr="001F2AD8">
        <w:rPr>
          <w:bCs/>
          <w:lang w:val="en-GB"/>
        </w:rPr>
        <w:instrText>ADDIN CSL_CITATION {"citationItems":[{"id":"ITEM-1","itemData":{"DOI":"10.1016/j.socscimed.2010.04.015","ISSN":"0277-9536","author":[{"dropping-particle":"","family":"Richardson","given":"Elizabeth A","non-dropping-particle":"","parse-names":false,"suffix":""},{"dropping-particle":"","family":"Mitchell","given":"Richard","non-dropping-particle":"","parse-names":false,"suffix":""}],"container-title":"Social Science &amp; Medicine","id":"ITEM-1","issued":{"date-parts":[["2010"]]},"page":"568-575","publisher":"Elsevier Ltd","title":"Gender differences in relationships between urban green space and health in the United Kingdom","type":"article-journal","volume":"71"},"uris":["http://www.mendeley.com/documents/?uuid=16952bd9-7db6-4962-beb3-5bb29168de35"]},{"id":"ITEM-2","itemData":{"DOI":"https://doi.org/10.1186/1471-2458-10-240","author":[{"dropping-particle":"","family":"Richardson","given":"Elizabeth","non-dropping-particle":"","parse-names":false,"suffix":""},{"dropping-particle":"","family":"Pearce","given":"Jamie","non-dropping-particle":"","parse-names":false,"suffix":""},{"dropping-particle":"","family":"Mitchell","given":"Richard","non-dropping-particle":"","parse-names":false,"suffix":""},{"dropping-particle":"","family":"Day","given":"Peter","non-dropping-particle":"","parse-names":false,"suffix":""},{"dropping-particle":"","family":"Kingham","given":"Simon","non-dropping-particle":"","parse-names":false,"suffix":""}],"container-title":"BMC Public Health","id":"ITEM-2","issued":{"date-parts":[["2010"]]},"page":"240","title":"The association between green space and cause-specific mortality in urban New Zealand : an ecological analysis of green space utility","type":"article-journal","volume":"10"},"uris":["http://www.mendeley.com/documents/?uuid=b90d16ee-8fcf-4f04-86a1-44057c83373d"]},{"id":"ITEM-3","itemData":{"DOI":"10.1136/jech.2011.137240","abstract":"Background Cities are expanding and accommodating an increasing proportion of the world&amp;#039;s population. It is important to identify features of urban form that promote the health of city dwellers. Access to green space has been associated with health benefits at both individual and neighbourhood level. We investigated whether a relationship between green space coverage and selected mortality rates exists at the city level in the USA.Methods An ecological cross-sectional study. A detailed land use data set was used to quantify green space for the largest US cities (n=49, combined population of 43 million). Linear regression models were used to examine the association between city-level ‘greenness’ and city-level standardised rates of mortality from heart disease, diabetes, lung cancer, motor vehicle fatalities and all causes, after adjustment for confounders.Results There was no association between greenness and mortality from heart disease, diabetes, lung cancer or automobile accidents. Mortality from all causes was significantly higher in greener cities.Conclusions While considerable evidence suggests that access to green space yields health benefits, we found no such evidence at the scale of the American city. In the USA, greener cities tend also to be more sprawling and have higher levels of car dependency. Any benefits that the green space might offer seem easily eclipsed by these other conditions and the lifestyles that accompany them. The result merits further investigation as it has important implications for how we increase green space access in our cities.","author":[{"dropping-particle":"","family":"Richardson","given":"Elizabeth A","non-dropping-particle":"","parse-names":false,"suffix":""},{"dropping-particle":"","family":"Mitchell","given":"Richard","non-dropping-particle":"","parse-names":false,"suffix":""},{"dropping-particle":"","family":"Hartig","given":"Terry","non-dropping-particle":"","parse-names":false,"suffix":""},{"dropping-particle":"","family":"Vries","given":"Sjerp","non-dropping-particle":"de","parse-names":false,"suffix":""},{"dropping-particle":"","family":"Astell-Burt","given":"Thomas","non-dropping-particle":"","parse-names":false,"suffix":""},{"dropping-particle":"","family":"Frumkin","given":"Howard","non-dropping-particle":"","parse-names":false,"suffix":""}],"container-title":"Journal of Epidemiology and Community Health","id":"ITEM-3","issue":"2","issued":{"date-parts":[["2012","2","1"]]},"page":"160 LP  - 165","title":"Green cities and health: a question of scale?","type":"article-journal","volume":"66"},"uris":["http://www.mendeley.com/documents/?uuid=077c75a0-cf18-4927-ab20-4da49c6d735f"]},{"id":"ITEM-4","itemData":{"DOI":"10.1371/journal.pone.0119495","author":[{"dropping-particle":"","family":"Bixby","given":"Honor","non-dropping-particle":"","parse-names":false,"suffix":""},{"dropping-particle":"","family":"Hodgson","given":"Susan","non-dropping-particle":"","parse-names":false,"suffix":""},{"dropping-particle":"","family":"Fortunato","given":"Léa","non-dropping-particle":"","parse-names":false,"suffix":""},{"dropping-particle":"","family":"Hansell","given":"Anna","non-dropping-particle":"","parse-names":false,"suffix":""},{"dropping-particle":"","family":"Fecht","given":"Daniela","non-dropping-particle":"","parse-names":false,"suffix":""}],"container-title":"PLoS ONE","id":"ITEM-4","issue":"3","issued":{"date-parts":[["2015"]]},"page":"e0119495","title":"Associations between Green Space and Health in English Cities : An Ecological , Cross- Sectional Study","type":"article-journal","volume":"10"},"uris":["http://www.mendeley.com/documents/?uuid=e19a3461-33fc-40d3-b9a3-9da5bb0a3425"]}],"mendeley":{"formattedCitation":"(Bixby et al., 2015; Richardson et al., 2010, 2012; Richardson and Mitchell, 2010)","plainTextFormattedCitation":"(Bixby et al., 2015; Richardson et al., 2010, 2012; Richardson and Mitchell, 2010)","previouslyFormattedCitation":"(Bixby et al., 2015; Richardson et al., 2010, 2012; Richardson and Mitchell, 2010)"},"properties":{"noteIndex":0},"schema":"https://github.com/citation-style-language/schema/raw/master/csl-citation.json"}</w:instrText>
      </w:r>
      <w:r w:rsidRPr="001F2AD8">
        <w:rPr>
          <w:bCs/>
          <w:lang w:val="en-GB"/>
        </w:rPr>
        <w:fldChar w:fldCharType="separate"/>
      </w:r>
      <w:r w:rsidRPr="001F2AD8">
        <w:rPr>
          <w:bCs/>
          <w:noProof/>
          <w:lang w:val="en-GB"/>
        </w:rPr>
        <w:t>(Bixby et al., 2015; Richardson et al., 2010, 2012; Richardson and Mitchell, 2010)</w:t>
      </w:r>
      <w:r w:rsidRPr="001F2AD8">
        <w:rPr>
          <w:bCs/>
          <w:lang w:val="en-GB"/>
        </w:rPr>
        <w:fldChar w:fldCharType="end"/>
      </w:r>
      <w:r w:rsidRPr="001F2AD8">
        <w:rPr>
          <w:bCs/>
          <w:lang w:val="en-GB"/>
        </w:rPr>
        <w:t>.</w:t>
      </w:r>
    </w:p>
    <w:p w14:paraId="43BEC016" w14:textId="6BBE9D8A" w:rsidR="00266E56" w:rsidRPr="005C562B" w:rsidRDefault="00266E56" w:rsidP="00266E56">
      <w:pPr>
        <w:spacing w:line="276" w:lineRule="auto"/>
        <w:jc w:val="both"/>
        <w:rPr>
          <w:bCs/>
          <w:lang w:val="en-US"/>
        </w:rPr>
      </w:pPr>
      <w:r w:rsidRPr="005C562B">
        <w:rPr>
          <w:bCs/>
          <w:lang w:val="en-GB"/>
        </w:rPr>
        <w:t xml:space="preserve">Other studies investigated associations between greenspace exposure and the same cancer sites as in our study, but using cancer incidence and survival </w:t>
      </w:r>
      <w:r w:rsidRPr="005C562B">
        <w:rPr>
          <w:bCs/>
          <w:lang w:val="en-GB"/>
        </w:rPr>
        <w:fldChar w:fldCharType="begin" w:fldLock="1"/>
      </w:r>
      <w:r w:rsidRPr="005C562B">
        <w:rPr>
          <w:bCs/>
          <w:lang w:val="en-GB"/>
        </w:rPr>
        <w:instrText>ADDIN CSL_CITATION {"citationItems":[{"id":"ITEM-1","itemData":{"DOI":"https://doi.org/10.1016/j.envint.2021.106797","ISSN":"0160-4120","abstract":"Background Several studies suggest that living in areas of high surrounding greenness may be associated with a lower cardiopulmonary mortality risk. However, associations of greenness with specific causes of death in cancer patients and survivors has not been examined and it is unknown whether this relationship is affected by area levels of fine particulate matter air pollution (PM2.5). This study evaluated associations between greenness and PM2.5 on causes of death in a large, U.S.-based cohort of cancer patients and survivors. Methods Surveillance, Epidemiology and End Results (SEER) data were used to generate a cohort of 5,529,005 cancer patients and survivors from 2000 to 2016. Census-tract Normalized Difference Vegetation Index (NDVI) during May-October from 2003 to 2016 was population-weighted to act as a county-level greenness measure. County-level PM2.5 exposure was estimated from annual concentrations averaged from 1999 to 2015. Cox Proportional Hazards models were used to estimate the association between greenness, PM2.5, and cause-specific mortality while controlling for age, sex, race, and other individual and county level variables. Findings An IQR increase in greenness was associated with a decrease in cancer mortality for cancer patients (Hazard ratio of 0.94, 95% CI: 0.93–0.95), but not for cardiopulmonary mortality (0.98, 95% CI: 0.96–1.00). Inversely, an increase in 10 μg/m3 PM2.5 was associated with increased cardiopulmonary mortality (1.24, 95% CI: 1.19–1.29), but not cancer mortality (0.99, 95% CI: 0.97–1.00). Hazard ratios were robust to inclusion of PM2.5 in models with greenness and vice versa. Although exposure estimates were constant over most stratifications, greenness seemed to benefit individuals diagnosed with high survivability cancers (0.92, 95% CI: 0.90–0.95) more than those with low survivability cancers (0.98. 95% CI: 0.96–0.99). Interpretation Higher levels of greenness are associated with lower cancer mortality in cancer patients. The evidence suggests minimal confounding between greenness and PM2.5 exposures and risk of mortality.","author":[{"dropping-particle":"","family":"Coleman","given":"Carver J","non-dropping-particle":"","parse-names":false,"suffix":""},{"dropping-particle":"","family":"Yeager","given":"Ray A","non-dropping-particle":"","parse-names":false,"suffix":""},{"dropping-particle":"","family":"Riggs","given":"Daniel W","non-dropping-particle":"","parse-names":false,"suffix":""},{"dropping-particle":"","family":"Coleman","given":"Nathan C","non-dropping-particle":"","parse-names":false,"suffix":""},{"dropping-particle":"","family":"Garcia","given":"George R","non-dropping-particle":"","parse-names":false,"suffix":""},{"dropping-particle":"","family":"Bhatnagar","given":"Aruni","non-dropping-particle":"","parse-names":false,"suffix":""},{"dropping-particle":"","family":"Pope","given":"C Arden","non-dropping-particle":"","parse-names":false,"suffix":""}],"container-title":"Environment International","id":"ITEM-1","issued":{"date-parts":[["2021"]]},"page":"106797","title":"Greenness, air pollution, and mortality risk: A U.S. cohort study of cancer patients and survivors","type":"article-journal","volume":"157"},"uris":["http://www.mendeley.com/documents/?uuid=d887062f-a924-4e01-a197-3d35fc61a4b3"]},{"id":"ITEM-2","itemData":{"DOI":"10.1186/s12889-018-5615-2","ISSN":"1471-2458","abstract":"There are a few epidemiological studies that (1) link increased ambient air pollution (AP) with an increase in lung cancer incidence rates and (2) investigate whether residing in green spaces could be protective against cancer. However, it is completely unclear whether other forms of cancer are also affected by AP and if residential green spaces could lower cancer incidence rates in general. Therefore, the objective was to estimate whether AP and green space are associated with several cancer types.","author":[{"dropping-particle":"","family":"Datzmann","given":"Thomas","non-dropping-particle":"","parse-names":false,"suffix":""},{"dropping-particle":"","family":"Markevych","given":"Iana","non-dropping-particle":"","parse-names":false,"suffix":""},{"dropping-particle":"","family":"Trautmann","given":"Freya","non-dropping-particle":"","parse-names":false,"suffix":""},{"dropping-particle":"","family":"Heinrich","given":"Joachim","non-dropping-particle":"","parse-names":false,"suffix":""},{"dropping-particle":"","family":"Schmitt","given":"Jochen","non-dropping-particle":"","parse-names":false,"suffix":""},{"dropping-particle":"","family":"Tesch","given":"Falko","non-dropping-particle":"","parse-names":false,"suffix":""}],"container-title":"BMC Public Health","id":"ITEM-2","issue":"1","issued":{"date-parts":[["2018"]]},"page":"715","title":"Outdoor air pollution, green space, and cancer incidence in Saxony: a semi-individual cohort study","type":"article-journal","volume":"18"},"uris":["http://www.mendeley.com/documents/?uuid=e96ed559-0200-4654-91d1-c117dbd29e65"]},{"id":"ITEM-3","itemData":{"DOI":"https://doi.org/10.1016/j.scitotenv.2021.147553","ISSN":"0048-9697","abstract":"Background Greenspace exposure has been suggested to be associated with a range of health outcomes. The available evidence on the association of this exposure with cancer is still very scarce and inconsistent. Objectives We aimed to study the association between greenspace exposure and all-site and site-specific (prostate, breast, colorectal, bladder, lung, and malignant melanoma of skin) cancer incidence in the GAZEL cohort. Methods This study was based on over 27 years of follow-up (1989–2016) of 19,408 participants across France. We assessed the residential greenspace exposure within several buffers as well as residential proximity to green spaces (agricultural, urban, and forests) in each follow-up. We used time-dependent Cox models, controlling for time-varying personal and area-level variables, with different lags between exposure and outcome. Additional analysis was conducted according to the urban-rural residence of the participants' over follow-up. Results Over the 294,645 person-years of follow-up, we registered 4075 incident cases of cancer. We found an increase in the risk for all-sites cancer with an inter-quartile range increase of Normalized Difference in Vegetation Index across different buffers (hazard ratio (HR) of 1.08; 95% CI: 1.02, 1.14 for the 100 m buffer). We found a positive association of all-sites cancer with proximity to agricultural lands (HR: 1.03; 95% CI: 1.00, 1.05), and forests (HR:1.04; 95% CI: 1.00, 1.07), but not with urban green spaces. The cancer site-specific analyses suggested a protective role of greenspace for breast, lung, and colorectal cancers (e.g. breast cancer HR at 100 m buffer: 0.82; 95% CI: 0.69, 0.99). Non-significant associations were observed for prostate, bladder, and skin cancer. Stratified analyses based on urban, semi-urban, and rural classification did not suggest any differential pattern. Conclusion We identified an increased risk of all-site cancer with increased greenspace and proximity to agricultural lands and forests; whereas potential protective role of greenspace for breast cancer.","author":[{"dropping-particle":"","family":"Zare Sakhvidi","given":"Mohammad Javad","non-dropping-particle":"","parse-names":false,"suffix":""},{"dropping-particle":"","family":"Yang","given":"Jun","non-dropping-particle":"","parse-names":false,"suffix":""},{"dropping-particle":"","family":"Siemiatycki","given":"Jack","non-dropping-particle":"","parse-names":false,"suffix":""},{"dropping-particle":"","family":"Dadvand","given":"Payam","non-dropping-particle":"","parse-names":false,"suffix":""},{"dropping-particle":"","family":"Hoogh","given":"Kees","non-dropping-particle":"de","parse-names":false,"suffix":""},{"dropping-particle":"","family":"Vienneau","given":"Danielle","non-dropping-particle":"","parse-names":false,"suffix":""},{"dropping-particle":"","family":"Goldberg","given":"Marcel","non-dropping-particle":"","parse-names":false,"suffix":""},{"dropping-particle":"","family":"Zins","given":"Marie","non-dropping-particle":"","parse-names":false,"suffix":""},{"dropping-particle":"","family":"Lequy","given":"Emeline","non-dropping-particle":"","parse-names":false,"suffix":""},{"dropping-particle":"","family":"Jacquemin","given":"Bénédicte","non-dropping-particle":"","parse-names":false,"suffix":""}],"container-title":"Science of The Total Environment","id":"ITEM-3","issued":{"date-parts":[["2021"]]},"page":"147553","title":"Greenspace exposure and cancer incidence: A 27-year follow-up of the French GAZEL cohort","type":"article-journal","volume":"787"},"uris":["http://www.mendeley.com/documents/?uuid=14dab879-3a7f-49f9-bdf9-30f3d743070c"]},{"id":"ITEM-4","itemData":{"DOI":"10.1016/j.envint.2016.10.024","ISSN":"0160-4120","author":[{"dropping-particle":"","family":"Demoury","given":"Claire","non-dropping-particle":"","parse-names":false,"suffix":""},{"dropping-particle":"","family":"Thierry","given":"Benoît","non-dropping-particle":"","parse-names":false,"suffix":""},{"dropping-particle":"","family":"Richard","given":"Hugues","non-dropping-particle":"","parse-names":false,"suffix":""},{"dropping-particle":"","family":"Sigler","given":"Brittany","non-dropping-particle":"","parse-names":false,"suffix":""},{"dropping-particle":"","family":"Kestens","given":"Yan","non-dropping-particle":"","parse-names":false,"suffix":""},{"dropping-particle":"","family":"Parent","given":"Marie-elise","non-dropping-particle":"","parse-names":false,"suffix":""}],"container-title":"Environment International","id":"ITEM-4","issued":{"date-parts":[["2017"]]},"page":"129-136","title":"Residential greenness and risk of prostate cancer : A case-control study in Montreal, Canada","type":"article-journal","volume":"98"},"uris":["http://www.mendeley.com/documents/?uuid=f3a385ce-2ed3-4904-b03e-169effabc27a"]},{"id":"ITEM-5","itemData":{"DOI":"10.1016/j.ijheh.2018.07.014","ISSN":"1438-4639","author":[{"dropping-particle":"","family":"O'Callaghan-Gordo","given":"Cristina","non-dropping-particle":"","parse-names":false,"suffix":""},{"dropping-particle":"","family":"Kogevinas","given":"Manolis","non-dropping-particle":"","parse-names":false,"suffix":""},{"dropping-particle":"","family":"Cirach","given":"Marta","non-dropping-particle":"","parse-names":false,"suffix":""},{"dropping-particle":</w:instrText>
      </w:r>
      <w:r w:rsidRPr="005C562B">
        <w:rPr>
          <w:bCs/>
          <w:lang w:val="fr-FR"/>
        </w:rPr>
        <w:instrText>"","family":"Vidan","given":"Juana","non-dropping-particle":"","parse-names":false,"suffix":""},{"dropping-particle":"","family":"José","given":"Antonio","non-dropping-particle":"","parse-names":false,"suffix":""},{"dropping-particle":"","family":"Oribe","given":"Madalen","non-dropping-particle":"","parse-names":false,"suffix":""},{"dropping-particle":"","family":"Gràcia-lavedan","given":"Esther","non-dropping-particle":"","parse-names":false,"suffix":""}],"container-title":"International Journal of Hygiene and Environmental Health","id":"ITEM-5","issue":"8","issued":{"date-parts":[["2018"]]},"page":"1097-1106","publisher":"Elsevier","title":"Residential proximity to green spaces and breast cancer risk : The multicase- control study in Spain ( MCC-Spain )","type":"article-journal","volume":"221"},"uris":["http://www.mendeley.com/documents/?uuid=debd2ff8-bfe5-483d-a8b0-853679f043a2"]}],"mendeley":{"formattedCitation":"(Coleman et al., 2021; Datzmann et al., 2018; Demoury et al., 2017; O’Callaghan-Gordo et al., 2018; Zare Sakhvidi et al., 2021)","plainTextFormattedCitation":"(Coleman et al., 2021; Datzmann et al., 2018; Demoury et al., 2017; O’Callaghan-Gordo et al., 2018; Zare Sakhvidi et al., 2021)","previouslyFormattedCitation":"(Coleman et al., 2021; Datzmann et al., 2018; Demoury et al., 2017; O’Callaghan-Gordo et al., 2018; Zare Sakhvidi et al., 2021)"},"properties":{"noteIndex":0},"schema":"https://github.com/citation-style-language/schema/raw/master/csl-citation.json"}</w:instrText>
      </w:r>
      <w:r w:rsidRPr="005C562B">
        <w:rPr>
          <w:bCs/>
          <w:lang w:val="en-GB"/>
        </w:rPr>
        <w:fldChar w:fldCharType="separate"/>
      </w:r>
      <w:r w:rsidRPr="005C562B">
        <w:rPr>
          <w:bCs/>
          <w:noProof/>
          <w:lang w:val="fr-FR"/>
        </w:rPr>
        <w:t>(Coleman et al., 2021; Datzmann et al., 2018; Demoury et al., 2017; O’Callaghan-Gordo et al., 2018; Zare Sakhvidi et al., 2021)</w:t>
      </w:r>
      <w:r w:rsidRPr="005C562B">
        <w:rPr>
          <w:bCs/>
          <w:lang w:val="en-GB"/>
        </w:rPr>
        <w:fldChar w:fldCharType="end"/>
      </w:r>
      <w:r w:rsidRPr="005C562B">
        <w:rPr>
          <w:bCs/>
          <w:lang w:val="fr-FR"/>
        </w:rPr>
        <w:t xml:space="preserve">. </w:t>
      </w:r>
      <w:r w:rsidRPr="005C562B">
        <w:rPr>
          <w:bCs/>
          <w:lang w:val="en-GB"/>
        </w:rPr>
        <w:t>Therefore,</w:t>
      </w:r>
      <w:r w:rsidRPr="00012EFC">
        <w:rPr>
          <w:bCs/>
          <w:i/>
          <w:iCs/>
          <w:lang w:val="en-GB"/>
        </w:rPr>
        <w:t xml:space="preserve"> </w:t>
      </w:r>
      <w:r w:rsidRPr="001F2AD8">
        <w:rPr>
          <w:bCs/>
          <w:lang w:val="en-GB"/>
        </w:rPr>
        <w:t>comparison</w:t>
      </w:r>
      <w:r w:rsidRPr="00012EFC">
        <w:rPr>
          <w:bCs/>
          <w:i/>
          <w:iCs/>
          <w:lang w:val="en-GB"/>
        </w:rPr>
        <w:t xml:space="preserve"> </w:t>
      </w:r>
      <w:r w:rsidRPr="005C562B">
        <w:rPr>
          <w:bCs/>
          <w:lang w:val="en-GB"/>
        </w:rPr>
        <w:t>with our findings on cancer mortality</w:t>
      </w:r>
      <w:r w:rsidRPr="00012EFC">
        <w:rPr>
          <w:bCs/>
          <w:i/>
          <w:iCs/>
          <w:lang w:val="en-GB"/>
        </w:rPr>
        <w:t xml:space="preserve"> </w:t>
      </w:r>
      <w:r w:rsidRPr="001F2AD8">
        <w:rPr>
          <w:bCs/>
          <w:lang w:val="en-GB"/>
        </w:rPr>
        <w:t>should be done with caution.</w:t>
      </w:r>
      <w:r w:rsidRPr="00012EFC">
        <w:rPr>
          <w:bCs/>
          <w:i/>
          <w:iCs/>
          <w:lang w:val="en-US"/>
        </w:rPr>
        <w:t xml:space="preserve"> </w:t>
      </w:r>
      <w:r w:rsidRPr="005C562B">
        <w:rPr>
          <w:bCs/>
          <w:lang w:val="en-US"/>
        </w:rPr>
        <w:t>Furthermore, all these studies were highly heterogeneous regarding exposure assessment, geographical location, and study design.</w:t>
      </w:r>
      <w:r w:rsidR="00E57B51">
        <w:rPr>
          <w:bCs/>
          <w:lang w:val="en-US"/>
        </w:rPr>
        <w:t xml:space="preserve"> </w:t>
      </w:r>
      <w:r w:rsidRPr="005C562B">
        <w:rPr>
          <w:bCs/>
          <w:lang w:val="en-US"/>
        </w:rPr>
        <w:t xml:space="preserve">For breast cancer, most studies have reported beneficial effects of green spaces in studies on survival </w:t>
      </w:r>
      <w:r w:rsidRPr="005C562B">
        <w:rPr>
          <w:bCs/>
          <w:lang w:val="en-US"/>
        </w:rPr>
        <w:fldChar w:fldCharType="begin" w:fldLock="1"/>
      </w:r>
      <w:r w:rsidRPr="005C562B">
        <w:rPr>
          <w:bCs/>
          <w:lang w:val="en-US"/>
        </w:rPr>
        <w:instrText>ADDIN CSL_CITATION {"citationItems":[{"id":"ITEM-1","itemData":{"DOI":"https://doi.org/10.1016/j.envint.2021.106797","ISSN":"0160-4120","abstract":"Background Several studies suggest that living in areas of high surrounding greenness may be associated with a lower cardiopulmonary mortality risk. However, associations of greenness with specific causes of death in cancer patients and survivors has not been examined and it is unknown whether this relationship is affected by area levels of fine particulate matter air pollution (PM2.5). This study evaluated associations between greenness and PM2.5 on causes of death in a large, U.S.-based cohort of cancer patients and survivors. Methods Surveillance, Epidemiology and End Results (SEER) data were used to generate a cohort of 5,529,005 cancer patients and survivors from 2000 to 2016. Census-tract Normalized Difference Vegetation Index (NDVI) during May-October from 2003 to 2016 was population-weighted to act as a county-level greenness measure. County-level PM2.5 exposure was estimated from annual concentrations averaged from 1999 to 2015. Cox Proportional Hazards models were used to estimate the association between greenness, PM2.5, and cause-specific mortality while controlling for age, sex, race, and other individual and county level variables. Findings An IQR increase in greenness was associated with a decrease in cancer mortality for cancer patients (Hazard ratio of 0.94, 95% CI: 0.93–0.95), but not for cardiopulmonary mortality (0.98, 95% CI: 0.96–1.00). Inversely, an increase in 10 μg/m3 PM2.5 was associated with increased cardiopulmonary mortality (1.24, 95% CI: 1.19–1.29), but not cancer mortality (0.99, 95% CI: 0.97–1.00). Hazard ratios were robust to inclusion of PM2.5 in models with greenness and vice versa. Although exposure estimates were constant over most stratifications, greenness seemed to benefit individuals diagnosed with high survivability cancers (0.92, 95% CI: 0.90–0.95) more than those with low survivability cancers (0.98. 95% CI: 0.96–0.99). Interpretation Higher levels of greenness are associated with lower cancer mortality in cancer patients. The evidence suggests minimal confounding between greenness and PM2.5 exposures and risk of mortality.","author":[{"dropping-particle":"","family":"Coleman","given":"Carver J","non-dropping-particle":"","parse-names":false,"suffix":""},{"dropping-particle":"","family":"Yeager","given":"Ray A","non-dropping-particle":"","parse-names":false,"suffix":""},{"dropping-particle":"","family":"Riggs","given":"Daniel W","non-dropping-particle":"","parse-names":false,"suffix":""},{"dropping-particle":"","family":"Coleman","given":"Nathan C","non-dropping-particle":"","parse-names":false,"suffix":""},{"dropping-particle":"","family":"Garcia","given":"George R","non-dropping-particle":"","parse-names":false,"suffix":""},{"dropping-particle":"","family":"Bhatnagar","given":"Aruni","non-dropping-particle":"","parse-names":false,"suffix":""},{"dropping-particle":"","family":"Pope","given":"C Arden","non-dropping-particle":"","parse-names":false,"suffix":""}],"container-title":"Environment International","id":"ITEM-1","issued":{"date-parts":[["2021"]]},"page":"106797","title":"Greenness, air pollution, and mortality risk: A U.S. cohort study of cancer patients and survivors","type":"article-journal","volume":"157"},"uris":["http://www.mendeley.com/documents/?uuid=d887062f-a924-4e01-a197-3d35fc61a4b3"]}],"mendeley":{"formattedCitation":"(Coleman et al., 2021)","plainTextFormattedCitation":"(Coleman et al., 2021)","previouslyFormattedCitation":"(Coleman et al., 2021)"},"properties":{"noteIndex":0},"schema":"https://github.com/citation-style-language/schema/raw/master/csl-citation.json"}</w:instrText>
      </w:r>
      <w:r w:rsidRPr="005C562B">
        <w:rPr>
          <w:bCs/>
          <w:lang w:val="en-US"/>
        </w:rPr>
        <w:fldChar w:fldCharType="separate"/>
      </w:r>
      <w:r w:rsidRPr="005C562B">
        <w:rPr>
          <w:bCs/>
          <w:noProof/>
          <w:lang w:val="en-US"/>
        </w:rPr>
        <w:t>(Coleman et al., 2021)</w:t>
      </w:r>
      <w:r w:rsidRPr="005C562B">
        <w:rPr>
          <w:bCs/>
          <w:lang w:val="en-US"/>
        </w:rPr>
        <w:fldChar w:fldCharType="end"/>
      </w:r>
      <w:r w:rsidRPr="005C562B">
        <w:rPr>
          <w:bCs/>
          <w:lang w:val="en-US"/>
        </w:rPr>
        <w:t xml:space="preserve"> and incidence </w:t>
      </w:r>
      <w:r w:rsidRPr="005C562B">
        <w:rPr>
          <w:bCs/>
          <w:lang w:val="en-US"/>
        </w:rPr>
        <w:fldChar w:fldCharType="begin" w:fldLock="1"/>
      </w:r>
      <w:r w:rsidRPr="005C562B">
        <w:rPr>
          <w:bCs/>
          <w:lang w:val="en-US"/>
        </w:rPr>
        <w:instrText>ADDIN CSL_CITATION {"citationItems":[{"id":"ITEM-1","itemData":{"DOI":"10.1186/s12889-018-5615-2","ISSN":"1471-2458","abstract":"There are a few epidemiological studies that (1) link increased ambient air pollution (AP) with an increase in lung cancer incidence rates and (2) investigate whether residing in green spaces could be protective against cancer. However, it is completely unclear whether other forms of cancer are also affected by AP and if residential green spaces could lower cancer incidence rates in general. Therefore, the objective was to estimate whether AP and green space are associated with several cancer types.","author":[{"dropping-particle":"","family":"Datzmann","given":"Thomas","non-dropping-particle":"","parse-names":false,"suffix":""},{"dropping-particle":"","family":"Markevych","given":"Iana","non-dropping-particle":"","parse-names":false,"suffix":""},{"dropping-particle":"","family":"Trautmann","given":"Freya","non-dropping-particle":"","parse-names":false,"suffix":""},{"dropping-particle":"","family":"Heinrich","given":"Joachim","non-dropping-particle":"","parse-names":false,"suffix":""},{"dropping-particle":"","family":"Schmitt","given":"Jochen","non-dropping-particle":"","parse-names":false,"suffix":""},{"dropping-particle":"","family":"Tesch","given":"Falko","non-dropping-particle":"","parse-names":false,"suffix":""}],"container-title":"BMC Public Health","id":"ITEM-1","issue":"1","issued":{"date-parts":[["2018"]]},"page":"715","title":"Outdoor air pollution, green space, and cancer incidence in Saxony: a semi-individual cohort study","type":"article-journal","volume":"18"},"uris":["http://www.mendeley.com/documents/?uuid=e96ed559-0200-4654-91d1-c117dbd29e65"]},{"id":"ITEM-2","itemData":{"DOI":"10.1016/j.ijheh.2018.07.014","ISSN":"1438-4639","author":[{"dropping-particle":"","family":"O'Callaghan-Gordo","given":"Cristina","non-dropping-particle":"","parse-names":false,"suffix":""},{"dropping-particle":"","family":"Kogevinas","given":"Manolis","non-dropping-particle":"","parse-names":false,"suffix":""},{"dropping-particle":"","family":"Cirach","given":"Marta","non-dropping-particle":"","parse-names":false,"suffix":""},{"dropping-particle":"","family":"Vidan","given":"Juana","non-dropping-particle":"","parse-names":false,"suffix":""},{"dropping-particle":"","family":"José","given":"Antonio","non-dropping-particle":"","parse-names":false,"suffix":""},{"dropping-particle":"","family":"Oribe","given":"Madalen","non-dropping-particle":"","parse-names":false,"suffix":""},{"dropping-particle":"","family":"Gràcia-lavedan","given":"Esther","non-dropping-particle":"","parse-names":false,"suffix":""}],"container-title":"International Journal of Hygiene and Environmental Health","id":"ITEM-2","issue":"8","issued":{"date-parts":[["2018"]]},"page":"1097-1106","publisher":"Elsevier","title":"Residential proximity to green spaces and breast cancer risk : The multicase- control study in Spain ( MCC-Spain )","type":"article-journal","volume":"221"},"uris":["http://www.mendeley.com/documents/?uuid=debd2ff8-bfe5-483d-a8b0-853679f043a2"]},{"id":"ITEM-3","itemData":{"DOI":"https://doi.org/10.1016/j.scitotenv.2021.147553","ISSN":"0048-9697","abstract":"Background Greenspace exposure has been suggested to be associated with a range of health outcomes. The available evidence on the association of this exposure with cancer is still very scarce and inconsistent. Objectives We aimed to study the association between greenspace exposure and all-site and site-specific (prostate, breast, colorectal, bladder, lung, and malignant melanoma of skin) cancer incidence in the GAZEL cohort. Methods This study was based on over 27 years of follow-up (1989–2016) of 19,408 participants across France. We assessed the residential greenspace exposure within several buffers as well as residential proximity to green spaces (agricultural, urban, and forests) in each follow-up. We used time-dependent Cox models, controlling for time-varying personal and area-level variables, with different lags between exposure and outcome. Additional analysis was conducted according to the urban-rural residence of the participants' over follow-up. Results Over the 294,645 person-years of follow-up, we registered 4075 incident cases of cancer. We found an increase in the risk for all-sites cancer with an inter-quartile range increase of Normalized Difference in Vegetation Index across different buffers (hazard ratio (HR) of 1.08; 95% CI: 1.02, 1.14 for the 100 m buffer). We found a positive association of all-sites cancer with proximity to agricultural lands (HR: 1.03; 95% CI: 1.00, 1.05), and forests (HR:1.04; 95% CI: 1.00, 1.07), but not with urban green spaces. The cancer site-specific analyses suggested a protective role of greenspace for breast, lung, and colorectal cancers (e.g. breast cancer HR at 100 m buffer: 0.82; 95% CI: 0.69, 0.99). Non-significant associations were observed for prostate, bladder, and skin cancer. Stratified analyses based on urban, semi-urban, and rural classification did not suggest any differential pattern. Conclusion We identified an increased risk of all-site cancer with increased greenspace and proximity to agricultural lands and forests; whereas potential protective role of greenspace for breast cancer.","author":[{"dropping-particle":"","family":"Zare Sakhvidi","given":"Mohammad Javad","non-dropping-particle":"","parse-names":false,"suffix":""},{"dropping-particle":"","family":"Yang","given":"Jun","non-dropping-particle":"","parse-names":false,"suffix":""},{"dropping-particle":"","family":"Siemiatycki","given":"Jack","non-dropping-particle":"","parse-names":false,"suffix":""},{"dropping-particle":"","family":"Dadvand","given":"Payam","non-dropping-particle":"","parse-names":false,"suffix":""},{"dropping-particle":"","family":"Hoogh","given":"Kees","non-dropping-particle":"de","parse-names":false,"suffix":""},{"dropping-particle":"","family":"Vienneau","given":"Danielle","non-dropping-particle":"","parse-names":false,"suffix":""},{"dropping-particle":"","family":"Goldberg","given":"Marcel","non-dropping-particle":"","parse-names":false,"suffix":""},{"dropping-particle":"","family":"Zins","given":"Marie","non-dropping-particle":"","parse-names":false,"suffix":""},{"dropping-particle":"","family":"Lequy","given":"Emeline","non-dropping-particle":"","parse-names":false,"suffix":""},{"dropping-particle":"","family":"Jacquemin","given":"Bénédicte","non-dropping-particle":"","parse-names":false,"suffix":""}],"container-title":"Science of The Total Environment","id":"ITEM-3","issued":{"date-parts":[["2021"]]},"page":"147553","title":"Greenspace exposure and cancer incidence: A 27-year follow-up of the French GAZEL cohort","type":"article-journal","volume":"787"},"uris":["http://www.mendeley.com/documents/?uuid=14dab879-3a7f-49f9-bdf9-30f3d743070c"]}],"mendeley":{"formattedCitation":"(Datzmann et al., 2018; O’Callaghan-Gordo et al., 2018; Zare Sakhvidi et al., 2021)","plainTextFormattedCitation":"(Datzmann et al., 2018; O’Callaghan-Gordo et al., 2018; Zare Sakhvidi et al., 2021)","previouslyFormattedCitation":"(Datzmann et al., 2018; O’Callaghan-Gordo et al., 2018; Zare Sakhvidi et al., 2021)"},"properties":{"noteIndex":0},"schema":"https://github.com/citation-style-language/schema/raw/master/csl-citation.json"}</w:instrText>
      </w:r>
      <w:r w:rsidRPr="005C562B">
        <w:rPr>
          <w:bCs/>
          <w:lang w:val="en-US"/>
        </w:rPr>
        <w:fldChar w:fldCharType="separate"/>
      </w:r>
      <w:r w:rsidRPr="005C562B">
        <w:rPr>
          <w:bCs/>
          <w:noProof/>
          <w:lang w:val="en-US"/>
        </w:rPr>
        <w:t>(Datzmann et al., 2018; O’Callaghan-Gordo et al., 2018; Zare Sakhvidi et al., 2021)</w:t>
      </w:r>
      <w:r w:rsidRPr="005C562B">
        <w:rPr>
          <w:bCs/>
          <w:lang w:val="en-US"/>
        </w:rPr>
        <w:fldChar w:fldCharType="end"/>
      </w:r>
      <w:r w:rsidRPr="005C562B">
        <w:rPr>
          <w:bCs/>
          <w:lang w:val="en-US"/>
        </w:rPr>
        <w:t xml:space="preserve">, although some of them found mixed results depending on the exposure assessment used, namely, satellite imagery or land-use classification maps </w:t>
      </w:r>
      <w:r w:rsidRPr="005C562B">
        <w:rPr>
          <w:bCs/>
          <w:lang w:val="en-US"/>
        </w:rPr>
        <w:fldChar w:fldCharType="begin" w:fldLock="1"/>
      </w:r>
      <w:r w:rsidRPr="005C562B">
        <w:rPr>
          <w:bCs/>
          <w:lang w:val="en-US"/>
        </w:rPr>
        <w:instrText>ADDIN CSL_CITATION {"citationItems":[{"id":"ITEM-1","itemData":{"DOI":"10.1016/j.ijheh.2018.07.014","ISSN":"1438-4639","author":[{"dropping-particle":"","family":"O'Callaghan-Gordo","given":"Cristina","non-dropping-particle":"","parse-names":false,"suffix":""},{"dropping-particle":"","family":"Kogevinas","given":"Manolis","non-dropping-particle":"","parse-names":false,"suffix":""},{"dropping-particle":"","family":"Cirach","given":"Marta","non-dropping-particle":"","parse-names":false,"suffix":""},{"dropping-particle":"","family":"Vidan","given":"Juana","non-dropping-particle":"","parse-names":false,"suffix":""},{"dropping-particle":"","family":"José","given":"Antonio","non-dropping-particle":"","parse-names":false,"suffix":""},{"dropping-particle":"","family":"Oribe","given":"Madalen","non-dropping-particle":"","parse-names":false,"suffix":""},{"dropping-particle":"","family":"Gràcia-lavedan","given":"Esther","non-dropping-particle":"","parse-names":false,"suffix":""}],"container-title":"International Journal of Hygiene and Environmental Health","id":"ITEM-1","issue":"8","issued":{"date-parts":[["2018"]]},"page":"1097-1106","publisher":"Elsevier","title":"Residential proximity to green spaces and breast cancer risk : The multicase- control study in Spain ( MCC-Spain )","type":"article-journal","volume":"221"},"uris":["http://www.mendeley.com/documents/?uuid=debd2ff8-bfe5-483d-a8b0-853679f043a2"]},{"id":"ITEM-2","itemData":{"DOI":"https://doi.org/10.1016/j.scitotenv.2021.147553","ISSN":"0048-9697","abstract":"Background Greenspace exposure has been suggested to be associated with a range of health outcomes. The available evidence on the association of this exposure with cancer is still very scarce and inconsistent. Objectives We aimed to study the association between greenspace exposure and all-site and site-specific (prostate, breast, colorectal, bladder, lung, and malignant melanoma of skin) cancer incidence in the GAZEL cohort. Methods This study was based on over 27 years of follow-up (1989–2016) of 19,408 participants across France. We assessed the residential greenspace exposure within several buffers as well as residential proximity to green spaces (agricultural, urban, and forests) in each follow-up. We used time-dependent Cox models, controlling for time-varying personal and area-level variables, with different lags between exposure and outcome. Additional analysis was conducted according to the urban-rural residence of the participants' over follow-up. Results Over the 294,645 person-years of follow-up, we registered 4075 incident cases of cancer. We found an increase in the risk for all-sites cancer with an inter-quartile range increase of Normalized Difference in Vegetation Index across different buffers (hazard ratio (HR) of 1.08; 95% CI: 1.02, 1.14 for the 100 m buffer). We found a positive association of all-sites cancer with proximity to agricultural lands (HR: 1.03; 95% CI: 1.00, 1.05), and forests (HR:1.04; 95% CI: 1.00, 1.07), but not with urban green spaces. The cancer site-specific analyses suggested a protective role of greenspace for breast, lung, and colorectal cancers (e.g. breast cancer HR at 100 m buffer: 0.82; 95% CI: 0.69, 0.99). Non-significant associations were observed for prostate, bladder, and skin cancer. Stratified analyses based on urban, semi-urban, and rural classification did not suggest any differential pattern. Conclusion We identified an increased risk of all-site cancer with increased greenspace and proximity to agricultural lands and forests; whereas potential protective role of greenspace for breast cancer.","author":[{"dropping-particle":"","family":"Zare Sakhvidi","given":"Mohammad Javad","non-dropping-particle":"","parse-names":false,"suffix":""},{"dropping-particle":"","family":"Yang","given":"Jun","non-dropping-particle":"","parse-names":false,"suffix":""},{"dropping-particle":"","family":"Siemiatycki","given":"Jack","non-dropping-particle":"","parse-names":false,"suffix":""},{"dropping-particle":"","family":"Dadvand","given":"Payam","non-dropping-particle":"","parse-names":false,"suffix":""},{"dropping-particle":"","family":"Hoogh","given":"Kees","non-dropping-particle":"de","parse-names":false,"suffix":""},{"dropping-particle":"","family":"Vienneau","given":"Danielle","non-dropping-particle":"","parse-names":false,"suffix":""},{"dropping-particle":"","family":"Goldberg","given":"Marcel","non-dropping-particle":"","parse-names":false,"suffix":""},{"dropping-particle":"","family":"Zins","given":"Marie","non-dropping-particle":"","parse-names":false,"suffix":""},{"dropping-particle":"","family":"Lequy","given":"Emeline","non-dropping-particle":"","parse-names":false,"suffix":""},{"dropping-particle":"","family":"Jacquemin","given":"Bénédicte","non-dropping-particle":"","parse-names":false,"suffix":""}],"container-title":"Science of The Total Environment","id":"ITEM-2","issued":{"date-parts":[["2021"]]},"page":"147553","title":"Greenspace exposure and cancer incidence: A 27-year follow-up of the French GAZEL cohort","type":"article-journal","volume":"787"},"uris":["http://www.mendeley.com/documents/?uuid=14dab879-3a7f-49f9-bdf9-30f3d743070c"]}],"mendeley":{"formattedCitation":"(O’Callaghan-Gordo et al., 2018; Zare Sakhvidi et al., 2021)","plainTextFormattedCitation":"(O’Callaghan-Gordo et al., 2018; Zare Sakhvidi et al., 2021)","previouslyFormattedCitation":"(O’Callaghan-Gordo et al., 2018; Zare Sakhvidi et al., 2021)"},"properties":{"noteIndex":0},"schema":"https://github.com/citation-style-language/schema/raw/master/csl-citation.json"}</w:instrText>
      </w:r>
      <w:r w:rsidRPr="005C562B">
        <w:rPr>
          <w:bCs/>
          <w:lang w:val="en-US"/>
        </w:rPr>
        <w:fldChar w:fldCharType="separate"/>
      </w:r>
      <w:r w:rsidRPr="005C562B">
        <w:rPr>
          <w:bCs/>
          <w:noProof/>
          <w:lang w:val="en-US"/>
        </w:rPr>
        <w:t>(O’Callaghan-Gordo et al., 2018; Zare Sakhvidi et al., 2021)</w:t>
      </w:r>
      <w:r w:rsidRPr="005C562B">
        <w:rPr>
          <w:bCs/>
          <w:lang w:val="en-US"/>
        </w:rPr>
        <w:fldChar w:fldCharType="end"/>
      </w:r>
      <w:r w:rsidRPr="005C562B">
        <w:rPr>
          <w:bCs/>
          <w:lang w:val="en-US"/>
        </w:rPr>
        <w:t>.</w:t>
      </w:r>
    </w:p>
    <w:p w14:paraId="0EA36059" w14:textId="003F3189" w:rsidR="007B3D9D" w:rsidRDefault="00266E56" w:rsidP="00266E56">
      <w:pPr>
        <w:spacing w:line="276" w:lineRule="auto"/>
        <w:jc w:val="both"/>
        <w:rPr>
          <w:bCs/>
          <w:lang w:val="en-GB"/>
        </w:rPr>
      </w:pPr>
      <w:r w:rsidRPr="005C562B">
        <w:rPr>
          <w:bCs/>
          <w:lang w:val="en-GB"/>
        </w:rPr>
        <w:t xml:space="preserve">As mentioned earlier in the Introduction, green spaces may reduce the risk of lung and breast cancer by promoting physical activity, providing opportunities for social cohesion, inducing stress and attention restoration, and mitigating exposure to environmental hazards </w:t>
      </w:r>
      <w:r w:rsidRPr="005C562B">
        <w:rPr>
          <w:bCs/>
          <w:lang w:val="en-GB"/>
        </w:rPr>
        <w:fldChar w:fldCharType="begin" w:fldLock="1"/>
      </w:r>
      <w:r w:rsidRPr="005C562B">
        <w:rPr>
          <w:bCs/>
          <w:lang w:val="en-GB"/>
        </w:rPr>
        <w:instrText>ADDIN CSL_CITATION {"citationItems":[{"id":"ITEM-1","itemData":{"DOI":"10.1097/EDE.0000000000000549","ISBN":"0000000000000","author":[{"dropping-particle":"","family":"Nieuwenhuijsen","given":"Mark J","non-dropping-particle":"","parse-names":false,"suffix":""},{"dropping-particle":"","family":"Khreis","given":"Haneen","non-dropping-particle":"","parse-names":false,"suffix":""},{"dropping-particle":"","family":"Triguero-Mas","given":"Margarita","non-dropping-particle":"","parse-names":false,"suffix":""},{"dropping-particle":"","family":"Gascon","given":"Mireia","non-dropping-particle":"","parse-names":false,"suffix":""},{"dropping-particle":"","family":"Dadvand","given":"Payam","non-dropping-particle":"","parse-names":false,"suffix":""}],"container-title":"Epidemiology","id":"ITEM-1","issue":"1","issued":{"date-parts":[["2017"]]},"page":"63-71","title":"Fifty Shades of Green. Pathway to Healthy Urban Living.","type":"article-journal","volume":"28"},"uris":["http://www.mendeley.com/documents/?uuid=50dae047-4b41-4632-909a-c168c7b0aefa"]}],"mendeley":{"formattedCitation":"(Nieuwenhuijsen et al., 2017)","plainTextFormattedCitation":"(Nieuwenhuijsen et al., 2017)","previouslyFormattedCitation":"(Nieuwenhuijsen et al., 2017)"},"properties":{"noteIndex":0},"schema":"https://github.com/citation-style-language/schema/raw/master/csl-citation.json"}</w:instrText>
      </w:r>
      <w:r w:rsidRPr="005C562B">
        <w:rPr>
          <w:bCs/>
          <w:lang w:val="en-GB"/>
        </w:rPr>
        <w:fldChar w:fldCharType="separate"/>
      </w:r>
      <w:r w:rsidRPr="005C562B">
        <w:rPr>
          <w:bCs/>
          <w:noProof/>
          <w:lang w:val="en-GB"/>
        </w:rPr>
        <w:t>(Nieuwenhuijsen et al., 2017)</w:t>
      </w:r>
      <w:r w:rsidRPr="005C562B">
        <w:rPr>
          <w:bCs/>
          <w:lang w:val="en-GB"/>
        </w:rPr>
        <w:fldChar w:fldCharType="end"/>
      </w:r>
      <w:r w:rsidRPr="005C562B">
        <w:rPr>
          <w:bCs/>
          <w:lang w:val="en-GB"/>
        </w:rPr>
        <w:t>. In our study,</w:t>
      </w:r>
      <w:r w:rsidRPr="00012EFC">
        <w:rPr>
          <w:bCs/>
          <w:i/>
          <w:iCs/>
          <w:lang w:val="en-GB"/>
        </w:rPr>
        <w:t xml:space="preserve"> </w:t>
      </w:r>
      <w:r w:rsidRPr="001F2AD8">
        <w:rPr>
          <w:bCs/>
          <w:lang w:val="en-GB"/>
        </w:rPr>
        <w:t>air pollution mitigation did not seem to play an important role in main associations. If causal assumptions to conduct mediation analyses were met,</w:t>
      </w:r>
      <w:r w:rsidRPr="00012EFC">
        <w:rPr>
          <w:bCs/>
          <w:i/>
          <w:iCs/>
          <w:lang w:val="en-GB"/>
        </w:rPr>
        <w:t xml:space="preserve"> </w:t>
      </w:r>
      <w:r w:rsidRPr="005C562B">
        <w:rPr>
          <w:bCs/>
          <w:lang w:val="en-GB"/>
        </w:rPr>
        <w:t xml:space="preserve">we only observed a marginal mediating role of outdoor air pollution in the associations between perceived neighbourhood greenness and lung cancer mortality. </w:t>
      </w:r>
      <w:r w:rsidR="00FC0EEB">
        <w:rPr>
          <w:bCs/>
          <w:lang w:val="en-GB"/>
        </w:rPr>
        <w:t>O</w:t>
      </w:r>
      <w:r w:rsidR="007B3D9D">
        <w:rPr>
          <w:bCs/>
          <w:lang w:val="en-GB"/>
        </w:rPr>
        <w:t xml:space="preserve">ur findings showing beneficial effects of exposure to green spaces on lung and breast cancer mortality may be </w:t>
      </w:r>
      <w:r w:rsidR="00FC0EEB" w:rsidRPr="006241E5">
        <w:rPr>
          <w:bCs/>
          <w:lang w:val="en-GB"/>
        </w:rPr>
        <w:t xml:space="preserve">thus </w:t>
      </w:r>
      <w:r w:rsidR="007B3D9D" w:rsidRPr="006241E5">
        <w:rPr>
          <w:bCs/>
          <w:lang w:val="en-GB"/>
        </w:rPr>
        <w:t>o</w:t>
      </w:r>
      <w:r w:rsidR="007B3D9D">
        <w:rPr>
          <w:bCs/>
          <w:lang w:val="en-GB"/>
        </w:rPr>
        <w:t>perated through the other proposed pathways.</w:t>
      </w:r>
    </w:p>
    <w:p w14:paraId="1A438B99" w14:textId="6CE7AB4B" w:rsidR="00266E56" w:rsidRPr="001F2AD8" w:rsidRDefault="00266E56" w:rsidP="00266E56">
      <w:pPr>
        <w:spacing w:line="276" w:lineRule="auto"/>
        <w:jc w:val="both"/>
        <w:rPr>
          <w:bCs/>
          <w:lang w:val="en-US"/>
        </w:rPr>
      </w:pPr>
      <w:r w:rsidRPr="00DC5150">
        <w:rPr>
          <w:bCs/>
          <w:lang w:val="en-GB"/>
        </w:rPr>
        <w:t xml:space="preserve">We </w:t>
      </w:r>
      <w:r w:rsidRPr="00BA2B37">
        <w:rPr>
          <w:bCs/>
          <w:i/>
          <w:iCs/>
          <w:lang w:val="en-GB"/>
        </w:rPr>
        <w:t>a priori</w:t>
      </w:r>
      <w:r w:rsidRPr="00DC5150">
        <w:rPr>
          <w:bCs/>
          <w:lang w:val="en-GB"/>
        </w:rPr>
        <w:t xml:space="preserve"> hypothesized an association with colorectal cancer mortality, since exposure to natural environments could increase exposure to microbes and cytokines, benefitting gut microbiome diversity </w:t>
      </w:r>
      <w:r w:rsidRPr="00DC5150">
        <w:rPr>
          <w:bCs/>
          <w:lang w:val="en-GB"/>
        </w:rPr>
        <w:fldChar w:fldCharType="begin" w:fldLock="1"/>
      </w:r>
      <w:r w:rsidRPr="00DC5150">
        <w:rPr>
          <w:bCs/>
          <w:lang w:val="en-GB"/>
        </w:rPr>
        <w:instrText>ADDIN CSL_CITATION {"citationItems":[{"id":"ITEM-1","itemData":{"DOI":"10.3389/fmicb.2017.01935","ISSN":"1664-302X","abstract":"Global comparisons reveal a decrease in gut microbiota diversity attributed to Western diets, lifestyle practices such as caesarian section, antibiotic use and formula-feeding of infants, and sanitation of the living environment. While gut microbial diversity is decreasing, the prevalence of chronic inflammatory diseases such as inflammatory bowel disease, diabetes, obesity, allergies and asthma is on the rise in Westernized societies. Since the immune system development is influenced by microbial components, early microbial colonization may be a key factor in determining disease susceptibility patterns later in life. Evidence indicates that the gut microbiota is vertically transmitted from the mother and this affects offspring immunity. However, the role of the external environment in gut microbiome and immune development is poorly understood. Studies show that growing up in microbe-rich environments, such as traditional farms, can have protective health effects on children. These health-effects may be ablated due to changes in the human lifestyle, diet, living environment and environmental biodiversity as a result of urbanization. Importantly, if early-life exposure to environmental microbes increases gut microbiota diversity by influencing patterns of gut microbial assembly, then soil biodiversity loss due to land-use changes such as urbanization could be a public health threat. Here, we summarize key questions in environmental health research and discuss some of the challenges that have hindered progress toward a better understanding of the role of the environment on gut microbiome development.","author":[{"dropping-particle":"","family":"Tasnim","given":"Nishat","non-dropping-particle":"","parse-names":false,"suffix":""},{"dropping-particle":"","family":"Abulizi","given":"Nijiati","non-dropping-particle":"","parse-names":false,"suffix":""},{"dropping-particle":"","family":"Pither","given":"Jason","non-dropping-particle":"","parse-names":false,"suffix":""},{"dropping-particle":"","family":"Hart","given":"Miranda M","non-dropping-particle":"","parse-names":false,"suffix":""},{"dropping-particle":"","family":"Gibson","given":"Deanna L","non-dropping-particle":"","parse-names":false,"suffix":""}],"container-title":"Frontiers in microbiology","id":"ITEM-1","issued":{"date-parts":[["2017","10","6"]]},"language":"eng","page":"1935","publisher":"Frontiers Media S.A.","title":"Linking the Gut Microbial Ecosystem with the Environment: Does Gut Health Depend on Where We Live?","type":"article-journal","volume":"8"},"uris":["http://www.mendeley.com/documents/?uuid=ab0be5f7-ece1-4309-a3c4-b40f8c8f784a"]}],"mendeley":{"formattedCitation":"(Tasnim et al., 2017)","plainTextFormattedCitation":"(Tasnim et al., 2017)","previouslyFormattedCitation":"(Tasnim et al., 2017)"},"properties":{"noteIndex":0},"schema":"https://github.com/citation-style-language/schema/raw/master/csl-citation.json"}</w:instrText>
      </w:r>
      <w:r w:rsidRPr="00DC5150">
        <w:rPr>
          <w:bCs/>
          <w:lang w:val="en-GB"/>
        </w:rPr>
        <w:fldChar w:fldCharType="separate"/>
      </w:r>
      <w:r w:rsidRPr="00DC5150">
        <w:rPr>
          <w:bCs/>
          <w:noProof/>
          <w:lang w:val="en-GB"/>
        </w:rPr>
        <w:t>(Tasnim et al., 2017)</w:t>
      </w:r>
      <w:r w:rsidRPr="00DC5150">
        <w:rPr>
          <w:bCs/>
          <w:lang w:val="en-GB"/>
        </w:rPr>
        <w:fldChar w:fldCharType="end"/>
      </w:r>
      <w:r w:rsidRPr="00DC5150">
        <w:rPr>
          <w:bCs/>
          <w:lang w:val="en-GB"/>
        </w:rPr>
        <w:t xml:space="preserve">, and minimise sedentary lifestyles, potentially reducing the risk of colorectal cancer </w:t>
      </w:r>
      <w:r w:rsidRPr="00DC5150">
        <w:rPr>
          <w:bCs/>
          <w:lang w:val="en-GB"/>
        </w:rPr>
        <w:fldChar w:fldCharType="begin" w:fldLock="1"/>
      </w:r>
      <w:r w:rsidRPr="00DC5150">
        <w:rPr>
          <w:bCs/>
          <w:lang w:val="en-GB"/>
        </w:rPr>
        <w:instrText>ADDIN CSL_CITATION {"citationItems":[{"id":"ITEM-1","itemData":{"DOI":"10.1038/bjc.2016.189","ISSN":"1532-1827","abstract":"The gut microbiota has been hailed as an accessory organ, with functions critical to the host including dietary metabolic activities and assistance in the development of a proper functioning immune system. However, an aberrant microbiota (dysbiosis) may influence disease processes such as colorectal cancer. In this review, we discuss recent advances in our understanding of the contributions of the microbiota to prevention, initiation/progression, and treatment of colorectal cancer, with a major focus on biofilms and the antimicrobial and antitumoural immune response.","author":[{"dropping-particle":"","family":"Drewes","given":"Julia L","non-dropping-particle":"","parse-names":false,"suffix":""},{"dropping-particle":"","family":"Housseau","given":"Franck","non-dropping-particle":"","parse-names":false,"suffix":""},{"dropping-particle":"","family":"Sears","given":"Cynthia L","non-dropping-particle":"","parse-names":false,"suffix":""}],"container-title":"British journal of cancer","edition":"2016/07/05","id":"ITEM-1","issue":"3","issued":{"date-parts":[["2016","7","26"]]},"language":"eng","page":"273-280","publisher":"Nature Publishing Group","title":"Sporadic colorectal cancer: microbial contributors to disease prevention, development and therapy","type":"article-journal","volume":"115"},"uris":["http://www.mendeley.com/documents/?uuid=798cc623-3078-4181-8192-aa0c718d593c"]},{"id":"ITEM-2","itemData":{"DOI":"10.1038/s41575-019-0189-8","ISSN":"1759-5053","abstract":"Globally, colorectal cancer (CRC) is the third most commonly diagnosed malignancy and the second leading cause of cancer death. Arising through three major pathways, including adenoma–carcinoma sequence, serrated pathway and inflammatory pathway, CRC represents an aetiologically heterogeneous disease according to subtyping by tumour anatomical location or global molecular alterations. Genetic factors such as germline MLH1 and APC mutations have an aetiologic role, predisposing individuals to CRC. Yet, the majority of CRC is sporadic and largely attributable to the constellation of modifiable environmental risk factors characterizing westernization (for example, obesity, physical inactivity, poor diets, alcohol drinking and smoking). As such, the burden of CRC is shifting towards low-income and middle-income countries as they become westernized. Furthermore, the rising incidence of CRC at younger ages (before age 50 years) is an emerging trend. This Review provides a comprehensive summary of CRC epidemiology, with emphasis on modifiable lifestyle and nutritional factors, chemoprevention and screening. Overall, the optimal reduction of CRC incidence and mortality will require concerted efforts to reduce modifiable risk factors, to leverage chemoprevention research and to promote population-wide and targeted screening.","author":[{"dropping-particle":"","family":"Keum","given":"NaNa","non-dropping-particle":"","parse-names":false,"suffix":""},{"dropping-particle":"","family":"Giovannucci","given":"Edward","non-dropping-particle":"","parse-names":false,"suffix":""}],"container-title":"Nature Reviews Gastroenterology &amp; Hepatology","id":"ITEM-2","issue":"12","issued":{"date-parts":[["2019"]]},"page":"713-732","title":"Global burden of colorectal cancer: emerging trends, risk factors and prevention strategies","type":"article-journal","volume":"16"},"uris":["http://www.mendeley.com/documents/?uuid=b689842d-3117-4251-84f3-9dd4549c5890"]}],"mendeley":{"formattedCitation":"(Drewes et al., 2016; Keum and Giovannucci, 2019)","plainTextFormattedCitation":"(Drewes et al., 2016; Keum and Giovannucci, 2019)","previouslyFormattedCitation":"(Drewes et al., 2016; Keum and Giovannucci, 2019)"},"properties":{"noteIndex":0},"schema":"https://github.com/citation-style-language/schema/raw/master/csl-citation.json"}</w:instrText>
      </w:r>
      <w:r w:rsidRPr="00DC5150">
        <w:rPr>
          <w:bCs/>
          <w:lang w:val="en-GB"/>
        </w:rPr>
        <w:fldChar w:fldCharType="separate"/>
      </w:r>
      <w:r w:rsidRPr="00DC5150">
        <w:rPr>
          <w:bCs/>
          <w:noProof/>
          <w:lang w:val="en-GB"/>
        </w:rPr>
        <w:t>(Drewes et al., 2016; Keum and Giovannucci, 2019)</w:t>
      </w:r>
      <w:r w:rsidRPr="00DC5150">
        <w:rPr>
          <w:bCs/>
          <w:lang w:val="en-GB"/>
        </w:rPr>
        <w:fldChar w:fldCharType="end"/>
      </w:r>
      <w:r w:rsidRPr="00DC5150">
        <w:rPr>
          <w:bCs/>
          <w:lang w:val="en-GB"/>
        </w:rPr>
        <w:t xml:space="preserve">. </w:t>
      </w:r>
      <w:r w:rsidR="001E5D0B" w:rsidRPr="001F2AD8">
        <w:rPr>
          <w:bCs/>
          <w:lang w:val="en-GB"/>
        </w:rPr>
        <w:t>Studies on green spaces and colorectal cancer incidence have reported mixed findings</w:t>
      </w:r>
      <w:r w:rsidR="00554021" w:rsidRPr="001F2AD8">
        <w:rPr>
          <w:bCs/>
          <w:lang w:val="en-GB"/>
        </w:rPr>
        <w:t xml:space="preserve"> so far </w:t>
      </w:r>
      <w:r w:rsidR="00554021" w:rsidRPr="001F2AD8">
        <w:rPr>
          <w:bCs/>
          <w:lang w:val="en-US"/>
        </w:rPr>
        <w:fldChar w:fldCharType="begin" w:fldLock="1"/>
      </w:r>
      <w:r w:rsidR="00554021" w:rsidRPr="001F2AD8">
        <w:rPr>
          <w:bCs/>
          <w:lang w:val="en-US"/>
        </w:rPr>
        <w:instrText>ADDIN CSL_CITATION {"citationItems":[{"id":"ITEM-1","itemData":{"DOI":"10.1186/s12889-018-5615-2","ISSN":"1471-2458","abstract":"There are a few epidemiological studies that (1) link increased ambient air pollution (AP) with an increase in lung cancer incidence rates and (2) investigate whether residing in green spaces could be protective against cancer. However, it is completely unclear whether other forms of cancer are also affected by AP and if residential green spaces could lower cancer incidence rates in general. Therefore, the objective was to estimate whether AP and green space are associated with several cancer types.","author":[{"dropping-particle":"","family":"Datzmann","given":"Thomas","non-dropping-particle":"","parse-names":false,"suffix":""},{"dropping-particle":"","family":"Markevych","given":"Iana","non-dropping-particle":"","parse-names":false,"suffix":""},{"dropping-particle":"","family":"Trautmann","given":"Freya","non-dropping-particle":"","parse-names":false,"suffix":""},{"dropping-particle":"","family":"Heinrich","given":"Joachim","non-dropping-particle":"","parse-names":false,"suffix":""},{"dropping-particle":"","family":"Schmitt","given":"Jochen","non-dropping-particle":"","parse-names":false,"suffix":""},{"dropping-particle":"","family":"Tesch","given":"Falko","non-dropping-particle":"","parse-names":false,"suffix":""}],"container-title":"BMC Public Health","id":"ITEM-1","issue":"1","issued":{"date-parts":[["2018"]]},"page":"715","title":"Outdoor air pollution, green space, and cancer incidence in Saxony: a semi-individual cohort study","type":"article-journal","volume":"18"},"uris":["http://www.mendeley.com/documents/?uuid=e96ed559-0200-4654-91d1-c117dbd29e65"]},{"id":"ITEM-2","itemData":{"DOI":"https://doi.org/10.1016/j.scitotenv.2021.147553","ISSN":"0048-9697","abstract":"Background Greenspace exposure has been suggested to be associated with a range of health outcomes. The available evidence on the association of this exposure with cancer is still very scarce and inconsistent. Objectives We aimed to study the association between greenspace exposure and all-site and site-specific (prostate, breast, colorectal, bladder, lung, and malignant melanoma of skin) cancer incidence in the GAZEL cohort. Methods This study was based on over 27 years of follow-up (1989–2016) of 19,408 participants across France. We assessed the residential greenspace exposure within several buffers as well as residential proximity to green spaces (agricultural, urban, and forests) in each follow-up. We used time-dependent Cox models, controlling for time-varying personal and area-level variables, with different lags between exposure and outcome. Additional analysis was conducted according to the urban-rural residence of the participants' over follow-up. Results Over the 294,645 person-years of follow-up, we registered 4075 incident cases of cancer. We found an increase in the risk for all-sites cancer with an inter-quartile range increase of Normalized Difference in Vegetation Index across different buffers (hazard ratio (HR) of 1.08; 95% CI: 1.02, 1.14 for the 100 m buffer). We found a positive association of all-sites cancer with proximity to agricultural lands (HR: 1.03; 95% CI: 1.00, 1.05), and forests (HR:1.04; 95% CI: 1.00, 1.07), but not with urban green spaces. The cancer site-specific analyses suggested a protective role of greenspace for breast, lung, and colorectal cancers (e.g. breast cancer HR at 100 m buffer: 0.82; 95% CI: 0.69, 0.99). Non-significant associations were observed for prostate, bladder, and skin cancer. Stratified analyses based on urban, semi-urban, and rural classification did not suggest any differential pattern. Conclusion We identified an increased risk of all-site cancer with increased greenspace and proximity to agricultural lands and forests; whereas potential protective role of greenspace for breast cancer.","author":[{"dropping-particle":"","family":"Zare Sakhvidi","given":"Mohammad Javad","non-dropping-particle":"","parse-names":false,"suffix":""},{"dropping-particle":"","family":"Yang","given":"Jun","non-dropping-particle":"","parse-names":false,"suffix":""},{"dropping-particle":"","family":"Siemiatycki","given":"Jack","non-dropping-particle":"","parse-names":false,"suffix":""},{"dropping-particle":"","family":"Dadvand","given":"Payam","non-dropping-particle":"","parse-names":false,"suffix":""},{"dropping-particle":"","family":"Hoogh","given":"Kees","non-dropping-particle":"de","parse-names":false,"suffix":""},{"dropping-particle":"","family":"Vienneau","given":"Danielle","non-dropping-particle":"","parse-names":false,"suffix":""},{"dropping-particle":"","family":"Goldberg","given":"Marcel","non-dropping-particle":"","parse-names":false,"suffix":""},{"dropping-particle":"","family":"Zins","given":"Marie","non-dropping-particle":"","parse-names":false,"suffix":""},{"dropping-particle":"","family":"Lequy","given":"Emeline","non-dropping-particle":"","parse-names":false,"suffix":""},{"dropping-particle":"","family":"Jacquemin","given":"Bénédicte","non-dropping-particle":"","parse-names":false,"suffix":""}],"container-title":"Science of The Total Environment","id":"ITEM-2","issued":{"date-parts":[["2021"]]},"page":"147553","title":"Greenspace exposure and cancer incidence: A 27-year follow-up of the French GAZEL cohort","type":"article-journal","volume":"787"},"uris":["http://www.mendeley.com/documents/?uuid=14dab879-3a7f-49f9-bdf9-30f3d743070c"]}],"mendeley":{"formattedCitation":"(Datzmann et al., 2018; Zare Sakhvidi et al., 2021)","plainTextFormattedCitation":"(Datzmann et al., 2018; Zare Sakhvidi et al., 2021)","previouslyFormattedCitation":"(Datzmann et al., 2018; O’Callaghan-Gordo et al., 2018; Zare Sakhvidi et al., 2021)"},"properties":{"noteIndex":0},"schema":"https://github.com/citation-style-language/schema/raw/master/csl-citation.json"}</w:instrText>
      </w:r>
      <w:r w:rsidR="00554021" w:rsidRPr="001F2AD8">
        <w:rPr>
          <w:bCs/>
          <w:lang w:val="en-US"/>
        </w:rPr>
        <w:fldChar w:fldCharType="separate"/>
      </w:r>
      <w:r w:rsidR="00554021" w:rsidRPr="001F2AD8">
        <w:rPr>
          <w:bCs/>
          <w:noProof/>
          <w:lang w:val="en-US"/>
        </w:rPr>
        <w:t>(Datzmann et al., 2018; Zare Sakhvidi et al., 2021)</w:t>
      </w:r>
      <w:r w:rsidR="00554021" w:rsidRPr="001F2AD8">
        <w:rPr>
          <w:bCs/>
          <w:lang w:val="en-US"/>
        </w:rPr>
        <w:fldChar w:fldCharType="end"/>
      </w:r>
      <w:r w:rsidR="001E5D0B" w:rsidRPr="001F2AD8">
        <w:rPr>
          <w:bCs/>
          <w:lang w:val="en-US"/>
        </w:rPr>
        <w:t>.</w:t>
      </w:r>
    </w:p>
    <w:p w14:paraId="2C4F1E09" w14:textId="48B8C2E4" w:rsidR="00266E56" w:rsidRPr="001F2AD8" w:rsidRDefault="00266E56" w:rsidP="00266E56">
      <w:pPr>
        <w:spacing w:line="276" w:lineRule="auto"/>
        <w:jc w:val="both"/>
        <w:rPr>
          <w:bCs/>
          <w:lang w:val="en-GB"/>
        </w:rPr>
      </w:pPr>
      <w:r w:rsidRPr="001F2AD8">
        <w:rPr>
          <w:bCs/>
          <w:lang w:val="en-GB"/>
        </w:rPr>
        <w:t xml:space="preserve">Prostate cancer typically has a good prognosis, being death from this cancer type rare. Our results are thus likely to reflect aggressive prostate cancer, rather than prostate cancer in general. Lethal prostate cancer has been more strongly associated with BMI, and therefore may be influenced by greenspace exposure </w:t>
      </w:r>
      <w:r w:rsidRPr="001F2AD8">
        <w:rPr>
          <w:bCs/>
          <w:lang w:val="en-GB"/>
        </w:rPr>
        <w:fldChar w:fldCharType="begin" w:fldLock="1"/>
      </w:r>
      <w:r w:rsidRPr="001F2AD8">
        <w:rPr>
          <w:bCs/>
          <w:lang w:val="en-GB"/>
        </w:rPr>
        <w:instrText>ADDIN CSL_CITATION {"citationItems":[{"id":"ITEM-1","itemData":{"DOI":"10.1186/s12916-017-0876-7","ISSN":"1741-7015","abstract":"The relationship between body size and prostate cancer risk, and in particular risk by tumour characteristics, is not clear because most studies have not differentiated between high-grade or advanced stage tumours, but rather have assessed risk with a combined category of aggressive disease. We investigated the association of height and adiposity with incidence of and death from prostate cancer in 141,896 men in the European Prospective Investigation into Cancer and Nutrition (EPIC) cohort.","author":[{"dropping-particle":"","family":"Perez-Cornago","given":"Aurora","non-dropping-particle":"","parse-names":false,"suffix":""},{"dropping-particle":"","family":"Appleby","given":"Paul N","non-dropping-particle":"","parse-names":false,"suffix":""},{"dropping-particle":"","family":"Pischon","given":"Tobias","non-dropping-particle":"","parse-names":false,"suffix":""},{"dropping-particle":"","family":"Tsilidis","given":"Konstantinos K","non-dropping-particle":"","parse-names":false,"suffix":""},{"dropping-particle":"","family":"Tjønneland","given":"Anne","non-dropping-particle":"","parse-names":false,"suffix":""},{"dropping-particle":"","family":"Olsen","given":"Anja","non-dropping-particle":"","parse-names":false,"suffix":""},{"dropping-particle":"","family":"Overvad","given":"Kim","non-dropping-particle":"","parse-names":false,"suffix":""},{"dropping-particle":"","family":"Kaaks","given":"Rudolf","non-dropping-particle":"","parse-names":false,"suffix":""},{"dropping-particle":"","family":"Kühn","given":"Tilman","non-dropping-particle":"","parse-names":false,"suffix":""},{"dropping-particle":"","family":"Boeing","given":"Heiner","non-dropping-particle":"","parse-names":false,"suffix":""},{"dropping-particle":"","family":"Steffen","given":"Annika","non-dropping-particle":"","parse-names":false,"suffix":""},{"dropping-particle":"","family":"Trichopoulou","given":"Antonia","non-dropping-particle":"","parse-names":false,"suffix":""},{"dropping-particle":"","family":"Lagiou","given":"Pagona","non-dropping-particle":"","parse-names":false,"suffix":""},{"dropping-particle":"","family":"Kritikou","given":"Maria","non-dropping-particle":"","parse-names":false,"suffix":""},{"dropping-particle":"","family":"Krogh","given":"Vittorio","non-dropping-particle":"","parse-names":false,"suffix":""},{"dropping-particle":"","family":"Palli","given":"Domenico","non-dropping-particle":"","parse-names":false,"suffix":""},{"dropping-particle":"","family":"Sacerdote","given":"Carlotta","non-dropping-particle":"","parse-names":false,"suffix":""},{"dropping-particle":"","family":"Tumino","given":"Rosario","non-dropping-particle":"","parse-names":false,"suffix":""},{"dropping-particle":"","family":"Bueno-de-Mesquita","given":"H Bas","non-dropping-particle":"","parse-names":false,"suffix":""},{"dropping-particle":"","family":"Agudo","given":"Antonio","non-dropping-particle":"","parse-names":false,"suffix":""},{"dropping-particle":"","family":"Larrañaga","given":"Nerea","non-dropping-particle":"","parse-names":false,"suffix":""},{"dropping-particle":"","family":"Molina-Portillo","given":"Elena","non-dropping-particle":"","parse-names":false,"suffix":""},{"dropping-particle":"","family":"Barricarte","given":"Aurelio","non-dropping-particle":"","parse-names":false,"suffix":""},{"dropping-particle":"","family":"Chirlaque","given":"Maria-Dolores","non-dropping-particle":"","parse-names":false,"suffix":""},{"dropping-particle":"","family":"Quirós","given":"J Ramón","non-dropping-particle":"","parse-names":false,"suffix":""},{"dropping-particle":"","family":"Stattin","given":"Pär","non-dropping-particle":"","parse-names":false,"suffix":""},{"dropping-particle":"","family":"Häggström","given":"Christel","non-dropping-particle":"","parse-names":false,"suffix":""},{"dropping-particle":"","family":"Wareham","given":"Nick","non-dropping-particle":"","parse-names":false,"suffix":""},{"dropping-particle":"","family":"Khaw","given":"Kay-Tee","non-dropping-particle":"","parse-names":false,"suffix":""},{"dropping-particle":"","family":"Schmidt","given":"Julie A","non-dropping-particle":"","parse-names":false,"suffix":""},{"dropping-particle":"","family":"Gunter","given":"Marc","non-dropping-particle":"","parse-names":false,"suffix":""},{"dropping-particle":"","family":"Freisling","given":"Heinz","non-dropping-particle":"","parse-names":false,"suffix":""},{"dropping-particle":"","family":"Aune","given":"Dagfinn","non-dropping-particle":"","parse-names":false,"suffix":""},{"dropping-particle":"","family":"Ward","given":"Heather","non-dropping-particle":"","parse-names":false,"suffix":""},{"dropping-particle":"","family":"Riboli","given":"Elio","non-dropping-particle":"","parse-names":false,"suffix":""},{"dropping-particle":"","family":"Key","given":"Timothy J","non-dropping-particle":"","parse-names":false,"suffix":""},{"dropping-particle":"","family":"Travis","given":"Ruth C","non-dropping-particle":"","parse-names":false,"suffix":""}],"container-title":"BMC Medicine","id":"ITEM-1","issue":"1","issued":{"date-parts":[["2017"]]},"page":"115","title":"Tall height and obesity are associated with an increased risk of aggressive prostate cancer: results from the EPIC cohort study","type":"article-journal","volume":"15"},"uris":["http://www.mendeley.com/documents/?uuid=88c4354a-fd55-4280-8341-e9d0d35ccf61"]}],"mendeley":{"formattedCitation":"(Perez-Cornago et al., 2017)","plainTextFormattedCitation":"(Perez-Cornago et al., 2017)","previouslyFormattedCitation":"(Perez-Cornago et al., 2017)"},"properties":{"noteIndex":0},"schema":"https://github.com/citation-style-language/schema/raw/master/csl-citation.json"}</w:instrText>
      </w:r>
      <w:r w:rsidRPr="001F2AD8">
        <w:rPr>
          <w:bCs/>
          <w:lang w:val="en-GB"/>
        </w:rPr>
        <w:fldChar w:fldCharType="separate"/>
      </w:r>
      <w:r w:rsidRPr="001F2AD8">
        <w:rPr>
          <w:bCs/>
          <w:noProof/>
          <w:lang w:val="en-GB"/>
        </w:rPr>
        <w:t>(Perez-Cornago et al., 2017)</w:t>
      </w:r>
      <w:r w:rsidRPr="001F2AD8">
        <w:rPr>
          <w:bCs/>
          <w:lang w:val="en-GB"/>
        </w:rPr>
        <w:fldChar w:fldCharType="end"/>
      </w:r>
      <w:r w:rsidRPr="001F2AD8">
        <w:rPr>
          <w:bCs/>
          <w:lang w:val="en-GB"/>
        </w:rPr>
        <w:t xml:space="preserve">. Our findings do not corroborate the results from two previous studies, where a beneficial effect was found between exposure to green spaces and prostate cancer incidence in Canada and the United States, using general and lethal prostate cancer, respectively </w:t>
      </w:r>
      <w:r w:rsidRPr="001F2AD8">
        <w:rPr>
          <w:bCs/>
          <w:lang w:val="en-GB"/>
        </w:rPr>
        <w:fldChar w:fldCharType="begin" w:fldLock="1"/>
      </w:r>
      <w:r w:rsidRPr="001F2AD8">
        <w:rPr>
          <w:bCs/>
          <w:lang w:val="en-GB"/>
        </w:rPr>
        <w:instrText>ADDIN CSL_CITATION {"citationItems":[{"id":"ITEM-1","itemData":{"DOI":"10.1016/j.envint.2016.10.024","ISSN":"0160-4120","author":[{"dropping-particle":"","family":"Demoury","given":"Claire","non-dropping-particle":"","parse-names":false,"suffix":""},{"dropping-particle":"","family":"Thierry","given":"Benoît","non-dropping-particle":"","parse-names":false,"suffix":""},{"dropping-particle":"","family":"Richard","given":"Hugues","non-dropping-particle":"","parse-names":false,"suffix":""},{"dropping-particle":"","family":"Sigler","given":"Brittany","non-dropping-particle":"","parse-names":false,"suffix":""},{"dropping-particle":"","family":"Kestens","given":"Yan","non-dropping-particle":"","parse-names":false,"suffix":""},{"dropping-particle":"","family":"Parent","given":"Marie-elise","non-dropping-particle":"","parse-names":false,"suffix":""}],"container-title":"Environment International","id":"ITEM-1","issued":{"date-parts":[["2017"]]},"page":"129-136","title":"Residential greenness and risk of prostate cancer : A case-control study in Montreal, Canada","type":"article-journal","volume":"98"},"uris":["http://www.mendeley.com/documents/?uuid=f3a385ce-2ed3-4904-b03e-169effabc27a"]},{"id":"ITEM-2","itemData":{"ISSN":"2474-7882","abstract":"Background: \n\nGrowing evidence suggests that neighborhood contextual environment could influence risk factors and, therefore, incidence of lethal prostate cancer. We studied the association between neighborhood greenness and lethal prostate cancer incidence and assessed mediation by vigorous physical activity.\n\nMethods:\n\nA total of 47,958 participants were followed in the Health Professionals Follow-up Study from 1986 to 2014. Neighborhood greenness exposure was estimated using normalized difference vegetation index (NDVI) with 1 km resolution, assigned to home or work addresses at start of follow-up. Adjusted hazard ratios (aHRs) and 95% confidence intervals (CIs) were estimated using sequentially adjusted Cox models with individual and contextual prostate cancer risk factors as covariates. Analyses were compared among those whose addresses were constant over follow-up and stratified by population density and address type.\n\nResults:\n\nWe observed 898 cases over 1,054,743 person-years. An interquartile range increase in NDVI was associated with 5% lower rate of lethal prostate cancer (aHR = 0.95, 95% CI = 0.88, 1.03), with stronger associations in nonmovers (aHR = 0.92, 95% CI = 0.85, 1.01). Inverse associations were observed among men in high (aHR = 0.90, 95% CI = 0.82, 0.99) but not low (aHR = 1.11, 95% CI = 0.95, 1.29, Phet = 0.086) population density areas, and those reporting from work (aHR = 0.87, 95% CI = 0.75, 1.01) but not home (aHR = 1.04, 95% CI = 0.91, 1.17, Phet = 0.10) addresses. There was no evidence of mediation by vigorous physical activity.\n\nConclusion:\n\nWe report inverse associations between neighborhood greenness and lethal prostate cancer when restricting to nonmovers and in high population density areas. Replication could confirm findings and clarify mechanisms.","author":[{"dropping-particle":"","family":"Iyer","given":"Hari S","non-dropping-particle":"","parse-names":false,"suffix":""},{"dropping-particle":"","family":"James","given":"Peter","non-dropping-particle":"","parse-names":false,"suffix":""},{"dropping-particle":"","family":"Valeri","given":"Linda","non-dropping-particle":"","parse-names":false,"suffix":""},{"dropping-particle":"","family":"Hart","given":"Jaime E","non-dropping-particle":"","parse-names":false,"suffix":""},{"dropping-particle":"","family":"Pernar","given":"Claire H","non-dropping-particle":"","parse-names":false,"suffix":""},{"dropping-particle":"","family":"Mucci","given":"Lorelei A","non-dropping-particle":"","parse-names":false,"suffix":""},{"dropping-particle":"","family":"Holmes","given":"Michelle D","non-dropping-particle":"","parse-names":false,"suffix":""},{"dropping-particle":"","family":"Laden","given":"Francine","non-dropping-particle":"","parse-names":false,"suffix":""},{"dropping-particle":"","family":"Rebbeck","given":"Timothy R","non-dropping-particle":"","parse-names":false,"suffix":""}],"container-title":"Environmental Epidemiology","id":"ITEM-2","issue":"2","issued":{"date-parts":[["2020"]]},"title":"The association between neighborhood greenness and incidence of lethal prostate cancer: A prospective cohort study","type":"article-journal","volume":"4"},"uris":["http://www.mendeley.com/documents/?uuid=bcee5011-423e-4f81-9ee6-920aaa0660c8"]}],"mendeley":{"formattedCitation":"(Demoury et al., 2017; Iyer et al., 2020)","plainTextFormattedCitation":"(Demoury et al., 2017; Iyer et al., 2020)","previouslyFormattedCitation":"(Demoury et al., 2017; Iyer et al., 2020)"},"properties":{"noteIndex":0},"schema":"https://github.com/citation-style-language/schema/raw/master/csl-citation.json"}</w:instrText>
      </w:r>
      <w:r w:rsidRPr="001F2AD8">
        <w:rPr>
          <w:bCs/>
          <w:lang w:val="en-GB"/>
        </w:rPr>
        <w:fldChar w:fldCharType="separate"/>
      </w:r>
      <w:r w:rsidRPr="001F2AD8">
        <w:rPr>
          <w:bCs/>
          <w:noProof/>
          <w:lang w:val="en-GB"/>
        </w:rPr>
        <w:t>(Demoury et al., 2017; Iyer et al., 2020)</w:t>
      </w:r>
      <w:r w:rsidRPr="001F2AD8">
        <w:rPr>
          <w:bCs/>
          <w:lang w:val="en-GB"/>
        </w:rPr>
        <w:fldChar w:fldCharType="end"/>
      </w:r>
      <w:r w:rsidRPr="001F2AD8">
        <w:rPr>
          <w:bCs/>
          <w:lang w:val="en-GB"/>
        </w:rPr>
        <w:t xml:space="preserve">. Moreover, in the latter study, beneficial associations were only found in highly </w:t>
      </w:r>
      <w:r w:rsidRPr="001F2AD8">
        <w:rPr>
          <w:bCs/>
          <w:lang w:val="en-GB"/>
        </w:rPr>
        <w:lastRenderedPageBreak/>
        <w:t xml:space="preserve">populated areas </w:t>
      </w:r>
      <w:r w:rsidRPr="001F2AD8">
        <w:rPr>
          <w:bCs/>
          <w:lang w:val="en-GB"/>
        </w:rPr>
        <w:fldChar w:fldCharType="begin" w:fldLock="1"/>
      </w:r>
      <w:r w:rsidR="00783F89" w:rsidRPr="001F2AD8">
        <w:rPr>
          <w:bCs/>
          <w:lang w:val="en-GB"/>
        </w:rPr>
        <w:instrText>ADDIN CSL_CITATION {"citationItems":[{"id":"ITEM-1","itemData":{"ISSN":"2474-7882","abstract":"Background: \n\nGrowing evidence suggests that neighborhood contextual environment could influence risk factors and, therefore, incidence of lethal prostate cancer. We studied the association between neighborhood greenness and lethal prostate cancer incidence and assessed mediation by vigorous physical activity.\n\nMethods:\n\nA total of 47,958 participants were followed in the Health Professionals Follow-up Study from 1986 to 2014. Neighborhood greenness exposure was estimated using normalized difference vegetation index (NDVI) with 1 km resolution, assigned to home or work addresses at start of follow-up. Adjusted hazard ratios (aHRs) and 95% confidence intervals (CIs) were estimated using sequentially adjusted Cox models with individual and contextual prostate cancer risk factors as covariates. Analyses were compared among those whose addresses were constant over follow-up and stratified by population density and address type.\n\nResults:\n\nWe observed 898 cases over 1,054,743 person-years. An interquartile range increase in NDVI was associated with 5% lower rate of lethal prostate cancer (aHR = 0.95, 95% CI = 0.88, 1.03), with stronger associations in nonmovers (aHR = 0.92, 95% CI = 0.85, 1.01). Inverse associations were observed among men in high (aHR = 0.90, 95% CI = 0.82, 0.99) but not low (aHR = 1.11, 95% CI = 0.95, 1.29, Phet = 0.086) population density areas, and those reporting from work (aHR = 0.87, 95% CI = 0.75, 1.01) but not home (aHR = 1.04, 95% CI = 0.91, 1.17, Phet = 0.10) addresses. There was no evidence of mediation by vigorous physical activity.\n\nConclusion:\n\nWe report inverse associations between neighborhood greenness and lethal prostate cancer when restricting to nonmovers and in high population density areas. Replication could confirm findings and clarify mechanisms.","author":[{"dropping-particle":"","family":"Iyer","given":"Hari S","non-dropping-particle":"","parse-names":false,"suffix":""},{"dropping-particle":"","family":"James","given":"Peter","non-dropping-particle":"","parse-names":false,"suffix":""},{"dropping-particle":"","family":"Valeri","given":"Linda","non-dropping-particle":"","parse-names":false,"suffix":""},{"dropping-particle":"","family":"Hart","given":"Jaime E","non-dropping-particle":"","parse-names":false,"suffix":""},{"dropping-particle":"","family":"Pernar","given":"Claire H","non-dropping-particle":"","parse-names":false,"suffix":""},{"dropping-particle":"","family":"Mucci","given":"Lorelei A","non-dropping-particle":"","parse-names":false,"suffix":""},{"dropping-particle":"","family":"Holmes","given":"Michelle D","non-dropping-particle":"","parse-names":false,"suffix":""},{"dropping-particle":"","family":"Laden","given":"Francine","non-dropping-particle":"","parse-names":false,"suffix":""},{"dropping-particle":"","family":"Rebbeck","given":"Timothy R","non-dropping-particle":"","parse-names":false,"suffix":""}],"container-title":"Environmental Epidemiology","id":"ITEM-1","issue":"2","issued":{"date-parts":[["2020"]]},"title":"The association between neighborhood greenness and incidence of lethal prostate cancer: A prospective cohort study","type":"article-journal","volume":"4"},"uris":["http://www.mendeley.com/documents/?uuid=bcee5011-423e-4f81-9ee6-920aaa0660c8"]}],"mendeley":{"formattedCitation":"(Iyer et al., 2020)","plainTextFormattedCitation":"(Iyer et al., 2020)","previouslyFormattedCitation":"(Iyer et al., 2020)"},"properties":{"noteIndex":0},"schema":"https://github.com/citation-style-language/schema/raw/master/csl-citation.json"}</w:instrText>
      </w:r>
      <w:r w:rsidRPr="001F2AD8">
        <w:rPr>
          <w:bCs/>
          <w:lang w:val="en-GB"/>
        </w:rPr>
        <w:fldChar w:fldCharType="separate"/>
      </w:r>
      <w:r w:rsidRPr="001F2AD8">
        <w:rPr>
          <w:bCs/>
          <w:noProof/>
          <w:lang w:val="en-GB"/>
        </w:rPr>
        <w:t>(Iyer et al., 2020)</w:t>
      </w:r>
      <w:r w:rsidRPr="001F2AD8">
        <w:rPr>
          <w:bCs/>
          <w:lang w:val="en-GB"/>
        </w:rPr>
        <w:fldChar w:fldCharType="end"/>
      </w:r>
      <w:r w:rsidRPr="001F2AD8">
        <w:rPr>
          <w:bCs/>
          <w:lang w:val="en-GB"/>
        </w:rPr>
        <w:t>. Our contradictory results in Belgium’s urban dwellers are therefore intriguing, although different study population characteristics, exposure and outcome assessment, and study design may be at play. Further investigation is hence needed.</w:t>
      </w:r>
    </w:p>
    <w:p w14:paraId="7240149C" w14:textId="792017AC" w:rsidR="00266E56" w:rsidRPr="00DC5150" w:rsidRDefault="00266E56" w:rsidP="00266E56">
      <w:pPr>
        <w:spacing w:line="276" w:lineRule="auto"/>
        <w:jc w:val="both"/>
        <w:rPr>
          <w:bCs/>
          <w:lang w:val="en-GB"/>
        </w:rPr>
      </w:pPr>
      <w:r w:rsidRPr="00DC5150">
        <w:rPr>
          <w:bCs/>
          <w:lang w:val="en-GB"/>
        </w:rPr>
        <w:t xml:space="preserve">Interestingly, we found that the effect on lung cancer mortality differed by gender and exposure assessment method. Contrary to our findings, prior results of a similar census-based cohort study in adults residing in urban Belgium found that for women the association between green spaces and non-accidental, </w:t>
      </w:r>
      <w:r w:rsidR="00D93DE0">
        <w:rPr>
          <w:bCs/>
          <w:lang w:val="en-GB"/>
        </w:rPr>
        <w:t>cardiovascular</w:t>
      </w:r>
      <w:r w:rsidR="00A41A39">
        <w:rPr>
          <w:bCs/>
          <w:lang w:val="en-GB"/>
        </w:rPr>
        <w:t>,</w:t>
      </w:r>
      <w:r w:rsidRPr="00DC5150">
        <w:rPr>
          <w:bCs/>
          <w:lang w:val="en-GB"/>
        </w:rPr>
        <w:t xml:space="preserve"> and diabetes mortality was only beneficial when using the perception indicator </w:t>
      </w:r>
      <w:r w:rsidRPr="00DC5150">
        <w:rPr>
          <w:bCs/>
          <w:lang w:val="en-GB"/>
        </w:rPr>
        <w:fldChar w:fldCharType="begin" w:fldLock="1"/>
      </w:r>
      <w:r w:rsidRPr="00DC5150">
        <w:rPr>
          <w:bCs/>
          <w:lang w:val="en-GB"/>
        </w:rPr>
        <w:instrText>ADDIN CSL_CITATION {"citationItems":[{"id":"ITEM-1","itemData":{"DOI":"https://doi.org/10.1016/j.envint.2020.106365","ISSN":"0160-4120","abstract":"Background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International","id":"ITEM-1","issued":{"date-parts":[["2021"]]},"page":"106365","title":"Residing in urban areas with higher green space is associated with lower mortality risk: A census-based cohort study with ten years of follow-up","type":"article-journal","volume":"148"},"uris":["http://www.mendeley.com/documents/?uuid=0c494c14-c951-40e8-811e-08967e2b217f"]},{"id":"ITEM-2","itemData":{"DOI":"https://doi.org/10.1016/j.scitotenv.2022.153445","ISSN":"0048-9697","abstract":"Background Residing close to green spaces might reduce diabetes mellitus (DM) risk; however, evidence for diabetes mortality is limited. Moreover, individual and neighbourhood social factors may determine DM risk. Exposure to green spaces may also depend on socioeconomic position (SEP). This study examined the associations between residential greenness and diabetes-related mortality, and the role of the social environment in these associations. Methods We used the 2001 Belgian census linked to mortality register data for the period 2001–2014. We included individuals aged 40–79 years old and residing in the five largest Belgian urban areas at baseline. Exposure to residential greenness was assessed with surrounding greenness using the Normalized Difference Vegetation Index (NDVI) within 500-m of residence (objective indicator), and perceived neighbourhood greenness (subjective indicator). We conducted mixed-effects Cox proportional hazards models to obtain hazard ratios (HR) for diabetes-related mortality per interquartile range (IQR) increments of residential greenness. We assessed effect modification by social factors through stratification. Results From 2,309,236 individuals included at baseline, 1.2% died from DM during follow-up. Both residential greenness indicators were inversely associated with diabetes-related mortality after adjustment for individual social factors. After controlling for neighbourhood SEP, the beneficial association with surrounding greenness disappeared [HR 1.02 (95%CI:0.99,1.06)], but persisted with perceived neighbourhood greenness [HR 0.93 (95%CI:0.91,0.95)]. After stratification the inverse associations with perceived neighbourhood greenness were strongest for women, the lowest educated, and individuals residing in least deprived neighbourhoods. Conclusions Our findings suggest that an overall positive perception of neighbourhood green spaces reduces independently the risk of diabetes-related mortality, regardless of the neighbourhood social environment. Nevertheless, neighbourhood SEP may be a strong confounder in the associations between diabetes-related mortality and greenness indicators derived from satellite images. Perception factors not captured by objective measurements of green spaces are potentially relevant in the association with DM, especially among disadvantaged groups.","author":[{"dropping-particle":"","family":"Rodriguez-Loureiro","given":"Lucía","non-dropping-particle":"","parse-names":false,"suffix":""},{"dropping-particle":"","family":"Casas","given":"Lidia","non-dropping-particle":"","parse-names":false,"suffix":""},{"dropping-particle":"","family":"Bauwelinck","given":"Mariska","non-dropping-particle":"","parse-names":false,"suffix":""},{"dropping-particle":"","family":"Lefebvre","given":"Wouter","non-dropping-particle":"","parse-names":false,"suffix":""},{"dropping-particle":"","family":"Vanpoucke","given":"Charlotte","non-dropping-particle":"","parse-names":false,"suffix":""},{"dropping-particle":"","family":"Gadeyne","given":"Sylvie","non-dropping-particle":"","parse-names":false,"suffix":""}],"container-title":"Science of The Total Environment","id":"ITEM-2","issued":{"date-parts":[["2022"]]},"page":"153445","title":"Long-term exposure to objective and perceived residential greenness and diabetes mortality: A census-based cohort study","type":"article-journal"},"uris":["http://www.mendeley.com/documents/?uuid=09f9564f-02ba-4aa3-b6eb-a2b2d5eb8f96"]}],"mendeley":{"formattedCitation":"(Bauwelinck et al., 2021; Rodriguez-Loureiro et al., 2022)","plainTextFormattedCitation":"(Bauwelinck et al., 2021; Rodriguez-Loureiro et al., 2022)","previouslyFormattedCitation":"(Bauwelinck et al., 2021; Rodriguez-Loureiro et al., 2022)"},"properties":{"noteIndex":0},"schema":"https://github.com/citation-style-language/schema/raw/master/csl-citation.json"}</w:instrText>
      </w:r>
      <w:r w:rsidRPr="00DC5150">
        <w:rPr>
          <w:bCs/>
          <w:lang w:val="en-GB"/>
        </w:rPr>
        <w:fldChar w:fldCharType="separate"/>
      </w:r>
      <w:r w:rsidRPr="00DC5150">
        <w:rPr>
          <w:bCs/>
          <w:noProof/>
          <w:lang w:val="en-GB"/>
        </w:rPr>
        <w:t>(Bauwelinck et al., 2021; Rodriguez-Loureiro et al., 2022)</w:t>
      </w:r>
      <w:r w:rsidRPr="00DC5150">
        <w:rPr>
          <w:bCs/>
          <w:lang w:val="en-GB"/>
        </w:rPr>
        <w:fldChar w:fldCharType="end"/>
      </w:r>
      <w:r w:rsidRPr="00DC5150">
        <w:rPr>
          <w:bCs/>
          <w:lang w:val="en-GB"/>
        </w:rPr>
        <w:t>.</w:t>
      </w:r>
      <w:r w:rsidRPr="00012EFC">
        <w:rPr>
          <w:bCs/>
          <w:i/>
          <w:iCs/>
          <w:lang w:val="en-GB"/>
        </w:rPr>
        <w:t xml:space="preserve"> </w:t>
      </w:r>
      <w:r w:rsidRPr="001F2AD8">
        <w:rPr>
          <w:color w:val="000000"/>
          <w:lang w:val="en-GB"/>
        </w:rPr>
        <w:t>Potentially this indicator captured qualitative features of green spaces, such as walkability, levels of maintenance, or perceived safety, which may be important for cardiometabolic outcomes (Rodriguez-Loureiro et al., 2022). Some of these features may also be specific of green spaces located in dense areas of a city.</w:t>
      </w:r>
      <w:r w:rsidRPr="001F2AD8">
        <w:rPr>
          <w:bCs/>
          <w:lang w:val="en-GB"/>
        </w:rPr>
        <w:t xml:space="preserve"> One </w:t>
      </w:r>
      <w:r w:rsidRPr="001F2AD8">
        <w:rPr>
          <w:color w:val="000000"/>
          <w:lang w:val="en-GB"/>
        </w:rPr>
        <w:t>study in</w:t>
      </w:r>
      <w:r w:rsidRPr="00DC5150">
        <w:rPr>
          <w:color w:val="000000"/>
          <w:lang w:val="en-GB"/>
        </w:rPr>
        <w:t xml:space="preserve"> the Belgian context found that higher population density was a risk factor for lung cancer mortality in women, but not in men</w:t>
      </w:r>
      <w:r w:rsidR="00783F89">
        <w:rPr>
          <w:color w:val="000000"/>
          <w:lang w:val="en-GB"/>
        </w:rPr>
        <w:t xml:space="preserve"> </w:t>
      </w:r>
      <w:r w:rsidR="00783F89" w:rsidRPr="001F2AD8">
        <w:rPr>
          <w:color w:val="000000"/>
          <w:lang w:val="en-GB"/>
        </w:rPr>
        <w:fldChar w:fldCharType="begin" w:fldLock="1"/>
      </w:r>
      <w:r w:rsidR="00322046" w:rsidRPr="001F2AD8">
        <w:rPr>
          <w:color w:val="000000"/>
          <w:lang w:val="en-GB"/>
        </w:rPr>
        <w:instrText>ADDIN CSL_CITATION {"citationItems":[{"id":"ITEM-1","itemData":{"DOI":"https://doi.org/10.1002/ijc.31031","ISSN":"0020-7136","abstract":"Our study explores the association between individual and neighborhood socioeconomic position (SEP) and all-cancer and site-specific cancer mortality. Data on all Belgian residents are retrieved from a population-based dataset constructed from the 2001 census linked to register data on emigration and mortality for 2001?2011. The study population contains all men and women aged 40 years or older during follow-up. Individual SEP is measured using education, employment status and housing conditions. Neighborhood SEP is measured by a deprivation index (in quintiles). Directly age-standardized mortality rates and multilevel Poisson models are used to estimate the association between individual SEP and neighborhood deprivation and mortality from all-cancer and cancer of the lung, colon and rectum, pancreas, prostate and female breast. The potential confounding role of population density is assessed using multilevel models as well. Our findings show an increase in mortality from all-cancer and site-specific cancer by decreasing level of individual SEP for both men and women. In addition, individuals living in highly deprived neighborhoods experience significantly higher mortality from all-cancer, lung cancer, pancreatic cancer and female colorectal cancer after controlling for individual SEP. Male colorectal and prostate cancer and female breast cancer are not associated with neighborhood deprivation. Population density acts as a confounder for female lung cancer only. Our study indicates that deprivation at both the individual and neighborhood level is associated with all-cancer mortality and mortality from several cancer sites. More research into the role of life-style related and clinical factors is necessary to gain more insight into causal pathway.","author":[{"dropping-particle":"","family":"Hagedoorn","given":"Paulien","non-dropping-particle":"","parse-names":false,"suffix":""},{"dropping-particle":"","family":"Vandenheede","given":"Hadewijch","non-dropping-particle":"","parse-names":false,"suffix":""},{"dropping-particle":"","family":"Vanthomme","given":"Katrien","non-dropping-particle":"","parse-names":false,"suffix":""},{"dropping-particle":"","family":"Gadeyne","given":"Sylvie","non-dropping-particle":"","parse-names":false,"suffix":""}],"container-title":"International Journal of Cancer","id":"ITEM-1","issue":"1","issued":{"date-parts":[["2018","1","1"]]},"note":"https://doi.org/10.1002/ijc.31031","page":"23-35","publisher":"John Wiley &amp; Sons, Ltd","title":"Socioeconomic position, population density and site-specific cancer mortality: A multilevel analysis of Belgian adults, 2001–2011","type":"article-journal","volume":"142"},"uris":["http://www.mendeley.com/documents/?uuid=1460890e-b81b-4ccb-bdf5-fa3cad7dfb82"]}],"mendeley":{"formattedCitation":"(Hagedoorn et al., 2018)","plainTextFormattedCitation":"(Hagedoorn et al., 2018)","previouslyFormattedCitation":"(Hagedoorn et al., 2018)"},"properties":{"noteIndex":0},"schema":"https://github.com/citation-style-language/schema/raw/master/csl-citation.json"}</w:instrText>
      </w:r>
      <w:r w:rsidR="00783F89" w:rsidRPr="001F2AD8">
        <w:rPr>
          <w:color w:val="000000"/>
          <w:lang w:val="en-GB"/>
        </w:rPr>
        <w:fldChar w:fldCharType="separate"/>
      </w:r>
      <w:r w:rsidR="00783F89" w:rsidRPr="001F2AD8">
        <w:rPr>
          <w:noProof/>
          <w:color w:val="000000"/>
          <w:lang w:val="en-GB"/>
        </w:rPr>
        <w:t>(Hagedoorn et al., 2018)</w:t>
      </w:r>
      <w:r w:rsidR="00783F89" w:rsidRPr="001F2AD8">
        <w:rPr>
          <w:color w:val="000000"/>
          <w:lang w:val="en-GB"/>
        </w:rPr>
        <w:fldChar w:fldCharType="end"/>
      </w:r>
      <w:r w:rsidRPr="001F2AD8">
        <w:rPr>
          <w:bCs/>
          <w:lang w:val="en-GB"/>
        </w:rPr>
        <w:t xml:space="preserve">, </w:t>
      </w:r>
      <w:r w:rsidR="00D31600" w:rsidRPr="001F2AD8">
        <w:rPr>
          <w:bCs/>
          <w:lang w:val="en-GB"/>
        </w:rPr>
        <w:t xml:space="preserve">and </w:t>
      </w:r>
      <w:r w:rsidRPr="001F2AD8">
        <w:rPr>
          <w:bCs/>
          <w:lang w:val="en-GB"/>
        </w:rPr>
        <w:t xml:space="preserve">population density was strongly negatively correlated with surrounding greenness in a previous study in urban Belgium, but not with perceived neighbourhood greenness </w:t>
      </w:r>
      <w:r w:rsidRPr="001F2AD8">
        <w:rPr>
          <w:bCs/>
          <w:lang w:val="en-GB"/>
        </w:rPr>
        <w:fldChar w:fldCharType="begin" w:fldLock="1"/>
      </w:r>
      <w:r w:rsidRPr="001F2AD8">
        <w:rPr>
          <w:bCs/>
          <w:lang w:val="en-GB"/>
        </w:rPr>
        <w:instrText>ADDIN CSL_CITATION {"citationItems":[{"id":"ITEM-1","itemData":{"DOI":"https://doi.org/10.1016/j.scitotenv.2022.153445","ISSN":"0048-9697","abstract":"Background Residing close to green spaces might reduce diabetes mellitus (DM) risk; however, evidence for diabetes mortality is limited. Moreover, individual and neighbourhood social factors may determine DM risk. Exposure to green spaces may also depend on socioeconomic position (SEP). This study examined the associations between residential greenness and diabetes-related mortality, and the role of the social environment in these associations. Methods We used the 2001 Belgian census linked to mortality register data for the period 2001–2014. We included individuals aged 40–79 years old and residing in the five largest Belgian urban areas at baseline. Exposure to residential greenness was assessed with surrounding greenness using the Normalized Difference Vegetation Index (NDVI) within 500-m of residence (objective indicator), and perceived neighbourhood greenness (subjective indicator). We conducted mixed-effects Cox proportional hazards models to obtain hazard ratios (HR) for diabetes-related mortality per interquartile range (IQR) increments of residential greenness. We assessed effect modification by social factors through stratification. Results From 2,309,236 individuals included at baseline, 1.2% died from DM during follow-up. Both residential greenness indicators were inversely associated with diabetes-related mortality after adjustment for individual social factors. After controlling for neighbourhood SEP, the beneficial association with surrounding greenness disappeared [HR 1.02 (95%CI:0.99,1.06)], but persisted with perceived neighbourhood greenness [HR 0.93 (95%CI:0.91,0.95)]. After stratification the inverse associations with perceived neighbourhood greenness were strongest for women, the lowest educated, and individuals residing in least deprived neighbourhoods. Conclusions Our findings suggest that an overall positive perception of neighbourhood green spaces reduces independently the risk of diabetes-related mortality, regardless of the neighbourhood social environment. Nevertheless, neighbourhood SEP may be a strong confounder in the associations between diabetes-related mortality and greenness indicators derived from satellite images. Perception factors not captured by objective measurements of green spaces are potentially relevant in the association with DM, especially among disadvantaged groups.","author":[{"dropping-particle":"","family":"Rodriguez-Loureiro","given":"Lucía","non-dropping-particle":"","parse-names":false,"suffix":""},{"dropping-particle":"","family":"Casas","given":"Lidia","non-dropping-particle":"","parse-names":false,"suffix":""},{"dropping-particle":"","family":"Bauwelinck","given":"Mariska","non-dropping-particle":"","parse-names":false,"suffix":""},{"dropping-particle":"","family":"Lefebvre","given":"Wouter","non-dropping-particle":"","parse-names":false,"suffix":""},{"dropping-particle":"","family":"Vanpoucke","given":"Charlotte","non-dropping-particle":"","parse-names":false,"suffix":""},{"dropping-particle":"","family":"Gadeyne","given":"Sylvie","non-dropping-particle":"","parse-names":false,"suffix":""}],"container-title":"Science of The Total Environment","id":"ITEM-1","issued":{"date-parts":[["2022"]]},"page":"153445","title":"Long-term exposure to objective and perceived residential greenness and diabetes mortality: A census-based cohort study","type":"article-journal"},"uris":["http://www.mendeley.com/documents/?uuid=09f9564f-02ba-4aa3-b6eb-a2b2d5eb8f96"]}],"mendeley":{"formattedCitation":"(Rodriguez-Loureiro et al., 2022)","plainTextFormattedCitation":"(Rodriguez-Loureiro et al., 2022)","previouslyFormattedCitation":"(Rodriguez-Loureiro et al., 2022)"},"properties":{"noteIndex":0},"schema":"https://github.com/citation-style-language/schema/raw/master/csl-citation.json"}</w:instrText>
      </w:r>
      <w:r w:rsidRPr="001F2AD8">
        <w:rPr>
          <w:bCs/>
          <w:lang w:val="en-GB"/>
        </w:rPr>
        <w:fldChar w:fldCharType="separate"/>
      </w:r>
      <w:r w:rsidRPr="001F2AD8">
        <w:rPr>
          <w:bCs/>
          <w:noProof/>
          <w:lang w:val="en-GB"/>
        </w:rPr>
        <w:t>(Rodriguez-Loureiro et al., 2022)</w:t>
      </w:r>
      <w:r w:rsidRPr="001F2AD8">
        <w:rPr>
          <w:bCs/>
          <w:lang w:val="en-GB"/>
        </w:rPr>
        <w:fldChar w:fldCharType="end"/>
      </w:r>
      <w:r w:rsidRPr="001F2AD8">
        <w:rPr>
          <w:bCs/>
          <w:lang w:val="en-GB"/>
        </w:rPr>
        <w:t xml:space="preserve">. </w:t>
      </w:r>
      <w:r w:rsidRPr="00DC5150">
        <w:rPr>
          <w:bCs/>
          <w:lang w:val="en-GB"/>
        </w:rPr>
        <w:t>Hence, residing in greener and less densely populated areas may influence certain behaviours in women, but not in men, potentially affecting lung cancer mortality risk.</w:t>
      </w:r>
    </w:p>
    <w:p w14:paraId="1F63A09B" w14:textId="527A3051" w:rsidR="00266E56" w:rsidRPr="00DC5150" w:rsidRDefault="00266E56" w:rsidP="00266E56">
      <w:pPr>
        <w:spacing w:line="276" w:lineRule="auto"/>
        <w:jc w:val="both"/>
        <w:rPr>
          <w:bCs/>
          <w:lang w:val="en-GB"/>
        </w:rPr>
      </w:pPr>
      <w:r w:rsidRPr="00DC5150">
        <w:rPr>
          <w:bCs/>
          <w:lang w:val="en-GB"/>
        </w:rPr>
        <w:t xml:space="preserve">Exposure to green spaces seemed to be more beneficial in young adults, which is in line with findings from previous studies using mortality cohorts </w:t>
      </w:r>
      <w:r w:rsidRPr="00DC5150">
        <w:rPr>
          <w:bCs/>
          <w:lang w:val="en-GB"/>
        </w:rPr>
        <w:fldChar w:fldCharType="begin" w:fldLock="1"/>
      </w:r>
      <w:r w:rsidRPr="00DC5150">
        <w:rPr>
          <w:bCs/>
          <w:lang w:val="en-GB"/>
        </w:rPr>
        <w:instrText>ADDIN CSL_CITATION {"citationItems":[{"id":"ITEM-1","itemData":{"DOI":"10.1016/j.envres.2012.03.003","ISSN":"0013-9351","author":[{"dropping-particle":"","family":"Villeneuve","given":"Paul J","non-dropping-particle":"","parse-names":false,"suffix":""},{"dropping-particle":"","family":"Jerrett","given":"Michael","non-dropping-particle":"","parse-names":false,"suffix":""},{"dropping-particle":"","family":"Su","given":"Jason G","non-dropping-particle":"","parse-names":false,"suffix":""},{"dropping-particle":"","family":"Burnett","given":"Richard T","non-dropping-particle":"","parse-names":false,"suffix":""},{"dropping-particle":"","family":"Chen","given":"Hong","non-dropping-particle":"","parse-names":false,"suffix":""},{"dropping-particle":"","family":"Wheeler","given":"Amanda J","non-dropping-particle":"","parse-names":false,"suffix":""},{"dropping-particle":"","family":"Goldberg","given":"Mark S","non-dropping-particle":"","parse-names":false,"suffix":""}],"container-title":"Environmental Research","id":"ITEM-1","issued":{"date-parts":[["2012"]]},"page":"51-58","publisher":"Elsevier","title":"A cohort study relating urban green space with mortality in Ontario, Canada","type":"article-journal","volume":"115"},"uris":["http://www.mendeley.com/documents/?uuid=19a8f8ef-735f-449a-b143-924c98f795f1"]},{"id":"ITEM-2","itemData":{"DOI":"10.1016/S2542-5196(17)30118-3","author":[{"dropping-particle":"","family":"Crouse","given":"Dan L","non-dropping-particle":"","parse-names":false,"suffix":""},{"dropping-particle":"","family":"Pinault","given":"Lauren","non-dropping-particle":"","parse-names":false,"suffix":""},{"dropping-particle":"","family":"Balram","given":"Adele","non-dropping-particle":"","parse-names":false,"suffix":""},{"dropping-particle":"","family":"Hystad","given":"Perry","non-dropping-particle":"","parse-names":false,"suffix":""},{"dropping-particle":"","family":"Peters","given":"Paul A","non-dropping-particle":"","parse-names":false,"suffix":""},{"dropping-particle":"","family":"Chen","given":"Hong","non-dropping-particle":"","parse-names":false,"suffix":""},{"dropping-particle":"Van","family":"Donkelaar","given":"Aaron","non-dropping-particle":"","parse-names":false,"suffix":""},{"dropping-particle":"V","family":"Martin","given":"Randall","non-dropping-particle":"","parse-names":false,"suffix":""},{"dropping-particle":"","family":"Ménard","given":"Richard","non-dropping-particle":"","parse-names":false,"suffix":""},{"dropping-particle":"","family":"Robichaud","given":"Alain","non-dropping-particle":"","parse-names":false,"suffix":""},{"dropping-particle":"","family":"Villeneuve","given":"Paul J","non-dropping-particle":"","parse-names":false,"suffix":""}],"container-title":"The Lancet Planetary Health","id":"ITEM-2","issued":{"date-parts":[["2017"]]},"page":"e289-97","title":"Urban greenness and mortality in Canada ’ s largest cities : a national cohort study","type":"article-journal","volume":"1"},"uris":["http://www.mendeley.com/documents/?uuid=e5e08b31-aed3-4093-8aad-a622187a866b"]},{"id":"ITEM-3","itemData":{"DOI":"10.1016/j.envint.2017.08.012","ISSN":"0160-4120","author":[{"dropping-particle":"","family":"Vienneau","given":"Danielle","non-dropping-particle":"","parse-names":false,"suffix":""},{"dropping-particle":"De","family":"Hoogh","given":"Kees","non-dropping-particle":"","parse-names":false,"suffix":""},{"dropping-particle":"","family":"Faeh","given":"David","non-dropping-particle":"","parse-names":false,"suffix":""},{"dropping-particle":"","family":"Kaufmann","given":"Marco","non-dropping-particle":"","parse-names":false,"suffix":""},{"dropping-particle":"","family":"Marc","given":"Jean","non-dropping-particle":"","parse-names":false,"suffix":""},{"dropping-particle":"","family":"Röösli","given":"Martin","non-dropping-particle":"","parse-names":false,"suffix":""},{"dropping-particle":"","family":"Snc","given":"The","non-dropping-particle":"","parse-names":false,"suffix":""},{"dropping-particle":"","family":"Group","given":"Study","non-dropping-particle":"","parse-names":false,"suffix":""}],"container-title":"Environment International","id":"ITEM-3","issue":"May","issued":{"date-parts":[["2017"]]},"page":"176-184","publisher":"Elsevier","title":"More than clean air and tranquillity : Residential green is independently associated with decreasing mortality","type":"article-journal","volume":"108"},"uris":["http://www.mendeley.com/documents/?uuid=874ebba8-39b4-4a64-b94a-6f75818a1ba8"]},{"id":"ITEM-4","itemData":{"author":[{"dropping-particle":"","family":"Orioli","given":"Riccardo","non-dropping-particle":"","parse-names":false,"suffix":""},{"dropping-particle":"","family":"Antonucci","given":"Chiara","non-dropping-particle":"","parse-names":false,"suffix":""},{"dropping-particle":"","family":"Scortichini","given":"Matteo","non-dropping-particle":"","parse-names":false,"suffix":""},{"dropping-particle":"","family":"Cerza","given":"Francesco","non-dropping-particle":"","parse-names":false,"suffix":""},{"dropping-particle":"","family":"Marando","given":"Federica","non-dropping-particle":"","parse-names":false,"suffix":""},{"dropping-particle":"","family":"Ancona","given":"Carla","non-dropping-particle":"","parse-names":false,"suffix":""},{"dropping-particle":"","family":"Manes","given":"Fausto","non-dropping-particle":"","parse-names":false,"suffix":""},{"dropping-particle":"","family":"Davoli","given":"Marina","non-dropping-particle":"","parse-names":false,"suffix":""},{"dropping-particle":"","family":"Michelozzi","given":"Paola","non-dropping-particle":"","parse-names":false,"suffix":""},{"dropping-particle":"","family":"Forastiere","given":"Francesco","non-dropping-particle":"","parse-names":false,"suffix":""},{"dropping-particle":"","family":"Cesaroni","given":"Giulia","non-dropping-particle":"","parse-names":false,"suffix":""}],"container-title":"Environmental Health Perspectives","id":"ITEM-4","issue":"2","issued":{"date-parts":[["2019"]]},"page":"1-11","title":"Exposure to Residential Greenness as a Predictor of Cause-Specific Mortality and Stroke Incidence in the Rome Longitudinal Study","type":"article-journal","volume":"127"},"uris":["http://www.mendeley.com/documents/?uuid=70d5e676-5e6a-4de1-b39b-ea6a81bc9ad0"]},{"id":"ITEM-5","itemData":{"DOI":"https://doi.org/10.1016/j.envint.2020.106365","ISSN":"0160-4120","abstract":"Background Epidemiological studies suggest that residing close to green space reduce mortality rates. We investigated the relationship between long-term exposure to residential green space and non-accidental and cardio-respiratory mortality. Methods We linked the Belgian 2001 census to population and mortality register follow-up data (2001–2011) among adults aged 30 years and older residing in the five largest urban areas in Belgium (n = 2,185,170 and mean follow-up time 9.4 years). Residential addresses were available at baseline. Exposure to green space was defined as 1) surrounding greenness (2006) [normalized difference vegetation index (NDVI) and modified soil-adjusted vegetation index (MSAVI2)] within buffers of 300 m, 500 m, and 1000 m; 2) surrounding green space (2006) [Urban Atlas (UA) and CORINE Land Cover (CLC)] within buffers of 300 m, 500 m, and 1000 m; and 3) perceived neighborhood green space (2001). Cox proportional hazards models with age as the underlying time scale were used to probe into cause-specific mortality (non-accidental, respiratory, COPD, cardiovascular, ischemic heart disease (IHD), and cerebrovascular). Models were adjusted for several sociodemographic variables (age, sex, marital status, country of birth, education level, employment status, and area mean income). We further adjusted our main models for annual mean (2010) values of ambient air pollution (PM2.5, PM10, NO2 and BC, one at a time), and we additionally explored potential mediation with the aforementioned pollutants. Results Higher degrees of residential green space were associated with lower rates of non-accidental and respiratory mortality. In fully adjusted models, hazard ratios (HR) per interquartile range (IQR) increase in NDVI 500 m buffer (IQR: 0.24) and UA 500 m buffer (IQR: 0.31) were 0.97 (95%CI 0.96–0.98) and 0.99 (95%CI 0.98–0.99) for non-accidental mortality, and 0.95 (95%CI 0.93–0.98) and 0.97 (95%CI 0.96–0.99) for respiratory mortality. For perceived neighborhood green space, HRs were 0.93 (95%CI 0.92–0.94) and 0.94 (95%CI 0.91–0.98) for non-accidental and respiratory mortality, respectively. The observed lower mortality risks associated with residential exposure to green space were largely independent from exposure to ambient air pollutants. Conclusion We observed evidence for lower mortality risk in associations with long-term residential exposure to green space in most but not all studied causes of death in a large representative cohort for the…","author":[{"dropping-particle":"","family":"Bauwelinck","given":"Mariska","non-dropping-particle":"","parse-names":false,"suffix":""},{"dropping-particle":"","family":"Casas","given":"Lidia","non-dropping-particle":"","parse-names":false,"suffix":""},{"dropping-particle":"","family":"Nawrot","given":"Tim S","non-dropping-particle":"","parse-names":false,"suffix":""},{"dropping-particle":"","family":"Nemery","given":"Benoit","non-dropping-particle":"","parse-names":false,"suffix":""},{"dropping-particle":"","family":"Trabelsi","given":"Sonia","non-dropping-particle":"","parse-names":false,"suffix":""},{"dropping-particle":"","family":"Thomas","given":"Isabelle","non-dropping-particle":"","parse-names":false,"suffix":""},{"dropping-particle":"","family":"Aerts","given":"Raf","non-dropping-particle":"","parse-names":false,"suffix":""},{"dropping-particle":"","family":"Lefebvre","given":"Wouter","non-dropping-particle"</w:instrText>
      </w:r>
      <w:r w:rsidRPr="00DC5150">
        <w:rPr>
          <w:bCs/>
          <w:lang w:val="fr-FR"/>
        </w:rPr>
        <w:instrText>:"","parse-names":false,"suffix":""},{"dropping-particle":"","family":"Vanpoucke","given":"Charlotte","non-dropping-particle":"","parse-names":false,"suffix":""},{"dropping-particle":"","family":"Nieuwenhuyse","given":"An","non-dropping-particle":"Van","parse-names":false,"suffix":""},{"dropping-particle":"","family":"Deboosere","given":"Patrick","non-dropping-particle":"","parse-names":false,"suffix":""},{"dropping-particle":"","family":"Vandenheede","given":"Hadewijch","non-dropping-particle":"","parse-names":false,"suffix":""}],"container-title":"Environment International","id":"ITEM-5","issued":{"date-parts":[["2021"]]},"page":"106365","title":"Residing in urban areas with higher green space is associated with lower mortality risk: A census-based cohort study with ten years of follow-up","type":"article-journal","volume":"148"},"uris":["http://www.mendeley.com/documents/?uuid=0c494c14-c951-40e8-811e-08967e2b217f"]}],"mendeley":{"formattedCitation":"(Bauwelinck et al., 2021; Crouse et al., 2017; Orioli et al., 2019; Vienneau et al., 2017; Villeneuve et al., 2012)","plainTextFormattedCitation":"(Bauwelinck et al., 2021; Crouse et al., 2017; Orioli et al., 2019; Vienneau et al., 2017; Villeneuve et al., 2012)","previouslyFormattedCitation":"(Bauwelinck et al., 2021; Crouse et al., 2017; Orioli et al., 2019; Vienneau et al., 2017; Villeneuve et al., 2012)"},"properties":{"noteIndex":0},"schema":"https://github.com/citation-style-language/schema/raw/master/csl-citation.json"}</w:instrText>
      </w:r>
      <w:r w:rsidRPr="00DC5150">
        <w:rPr>
          <w:bCs/>
          <w:lang w:val="en-GB"/>
        </w:rPr>
        <w:fldChar w:fldCharType="separate"/>
      </w:r>
      <w:r w:rsidRPr="00DC5150">
        <w:rPr>
          <w:bCs/>
          <w:noProof/>
          <w:lang w:val="fr-FR"/>
        </w:rPr>
        <w:t>(Bauwelinck et al., 2021; Crouse et al., 2017; Orioli et al., 2019; Vienneau et al., 2017; Villeneuve et al., 2012)</w:t>
      </w:r>
      <w:r w:rsidRPr="00DC5150">
        <w:rPr>
          <w:bCs/>
          <w:lang w:val="en-GB"/>
        </w:rPr>
        <w:fldChar w:fldCharType="end"/>
      </w:r>
      <w:r w:rsidRPr="00DC5150">
        <w:rPr>
          <w:bCs/>
          <w:lang w:val="fr-FR"/>
        </w:rPr>
        <w:t xml:space="preserve">. </w:t>
      </w:r>
      <w:r w:rsidR="00962683" w:rsidRPr="001F2AD8">
        <w:rPr>
          <w:bCs/>
          <w:color w:val="000000"/>
          <w:lang w:val="en-GB"/>
        </w:rPr>
        <w:t xml:space="preserve">Regarding breast cancer mortality, a stronger beneficial effect was found for women older than 50 years old. A potential explanation is that BMI is a risk factor for breast cancer among postmenopausal women, but such effect is not clear for premenopausal women </w:t>
      </w:r>
      <w:r w:rsidR="00962683" w:rsidRPr="001F2AD8">
        <w:rPr>
          <w:bCs/>
          <w:color w:val="000000"/>
          <w:lang w:val="en-GB"/>
        </w:rPr>
        <w:fldChar w:fldCharType="begin" w:fldLock="1"/>
      </w:r>
      <w:r w:rsidR="00962683" w:rsidRPr="001F2AD8">
        <w:rPr>
          <w:bCs/>
          <w:color w:val="000000"/>
          <w:lang w:val="en-GB"/>
        </w:rPr>
        <w:instrText>ADDIN CSL_CITATION {"citationItems":[{"id":"ITEM-1","itemData":{"DOI":"10.1007/s10549-015-3447-7","ISSN":"1573-7217","abstract":"We aimed to estimate the proportion of Dutch postmenopausal breast cancer cases in 2010 that is attributable to lifestyle-related risk factors. We calculated population attributable fractions (PAFs) of potentially modifiable risk factors for postmenopausal breast cancer in Dutch women aged &gt;50 in 2010. First, age-specific PAFs were calculated for each risk factor, based on their relative risks for postmenopausal breast cancer (from meta-analyses) and age-specific prevalence in the population (from national surveys) around the year 2000, assuming a latency period of 10 years. To obtain the overall PAF, age-specific PAFs were summed in a weighted manner, using the age-specific breast cancer incidence rates (2010) as weights. 95 % confidence intervals for PAF estimates were derived by Monte Carlo simulations. Of Dutch women &gt;40 years, in 2000, 51 % were overweight/obese, 55 % physically inactive (&lt;5 days/week 30 min activity), 75 % regularly consumed alcohol, 42 % ever smoked cigarettes and 79 % had a low-fibre intake (&lt;3.4 g/1000 kJ/day). These factors combined had a PAF of 25.7 % (95 % CI 24.2–27.2), corresponding to 2,665 Dutch postmenopausal breast cancer cases in 2010. PAFs were 8.8 % (95 % CI 6.3–11.3) for overweight/obesity, 6.6 % (95 % CI 5.2–8.0) for alcohol consumption, 5.5 % (95 % CI 4.0–7.0) for physical inactivity, 4.6 % (95 % CI 3.3–6.0) for smoking and 3.2 % (95 % CI 1.6–4.8) for low-fibre intake. Our findings imply that modifiable risk factors are jointly responsible for approximately one out of four Dutch postmenopausal breast cancer cases. This suggests that incidence rates can be lowered substantially by living a more healthy lifestyle.","author":[{"dropping-particle":"","family":"Gemert","given":"W A","non-dropping-particle":"van","parse-names":false,"suffix":""},{"dropping-particle":"","family":"Lanting","given":"C I","non-dropping-particle":"","parse-names":false,"suffix":""},{"dropping-particle":"","family":"Goldbohm","given":"R A","non-dropping-particle":"","parse-names":false,"suffix":""},{"dropping-particle":"","family":"Brandt","given":"P A","non-dropping-particle":"van den","parse-names":false,"suffix":""},{"dropping-particle":"","family":"Grooters","given":"H G","non-dropping-particle":"","parse-names":false,"suffix":""},{"dropping-particle":"","family":"Kampman","given":"E","non-dropping-particle":"","parse-names":false,"suffix":""},{"dropping-particle":"","family":"Kiemeney","given":"L A L M","non-dropping-particle":"","parse-names":false,"suffix":""},{"dropping-particle":"","family":"Leeuwen","given":"F E","non-dropping-particle":"van","parse-names":false,"suffix":""},{"dropping-particle":"","family":"Monninkhof","given":"E M","non-dropping-particle":"","parse-names":false,"suffix":""},{"dropping-particle":"","family":"Vries","given":"E","non-dropping-particle":"de","parse-names":false,"suffix":""},{"dropping-particle":"","family":"Peeters","given":"P H","non-dropping-particle":"","parse-names":false,"suffix":""},{"dropping-particle":"","family":"Elias","given":"S G","non-dropping-particle":"","parse-names":false,"suffix":""}],"container-title":"Breast Cancer Research and Treatment","id":"ITEM-1","issue":"1","issued":{"date-parts":[["2015"]]},"page":"155-162","title":"The proportion of postmenopausal breast cancer cases in the Netherlands attributable to lifestyle-related risk factors","type":"article-journal","volume":"152"},"uris":["http://www.mendeley.com/documents/?uuid=58e46eac-a910-46fd-b8eb-f0be867626dd"]}],"mendeley":{"formattedCitation":"(van Gemert et al., 2015)","plainTextFormattedCitation":"(van Gemert et al., 2015)","previouslyFormattedCitation":"(van Gemert et al., 2015)"},"properties":{"noteIndex":0},"schema":"https://github.com/citation-style-language/schema/raw/master/csl-citation.json"}</w:instrText>
      </w:r>
      <w:r w:rsidR="00962683" w:rsidRPr="001F2AD8">
        <w:rPr>
          <w:bCs/>
          <w:color w:val="000000"/>
          <w:lang w:val="en-GB"/>
        </w:rPr>
        <w:fldChar w:fldCharType="separate"/>
      </w:r>
      <w:r w:rsidR="00962683" w:rsidRPr="001F2AD8">
        <w:rPr>
          <w:bCs/>
          <w:noProof/>
          <w:color w:val="000000"/>
          <w:lang w:val="en-GB"/>
        </w:rPr>
        <w:t>(van Gemert et al., 2015)</w:t>
      </w:r>
      <w:r w:rsidR="00962683" w:rsidRPr="001F2AD8">
        <w:rPr>
          <w:bCs/>
          <w:color w:val="000000"/>
          <w:lang w:val="en-GB"/>
        </w:rPr>
        <w:fldChar w:fldCharType="end"/>
      </w:r>
      <w:r w:rsidR="00962683" w:rsidRPr="001F2AD8">
        <w:rPr>
          <w:bCs/>
          <w:color w:val="000000"/>
          <w:lang w:val="en-GB"/>
        </w:rPr>
        <w:t xml:space="preserve">. In their case-control study, </w:t>
      </w:r>
      <w:r w:rsidR="00962683" w:rsidRPr="001F2AD8">
        <w:rPr>
          <w:bCs/>
          <w:color w:val="000000"/>
          <w:lang w:val="en-GB"/>
        </w:rPr>
        <w:fldChar w:fldCharType="begin" w:fldLock="1"/>
      </w:r>
      <w:r w:rsidR="00554021" w:rsidRPr="001F2AD8">
        <w:rPr>
          <w:bCs/>
          <w:color w:val="000000"/>
          <w:lang w:val="en-GB"/>
        </w:rPr>
        <w:instrText>ADDIN CSL_CITATION {"citationItems":[{"id":"ITEM-1","itemData":{"DOI":"10.1016/j.ijheh.2018.07.014","ISSN":"1438-4639","author":[{"dropping-particle":"","family":"O'Callaghan-Gordo","given":"Cristina","non-dropping-particle":"","parse-names":false,"suffix":""},{"dropping-particle":"","family":"Kogevinas","given":"Manolis","non-dropping-particle":"","parse-names":false,"suffix":""},{"dropping-particle":"","family":"Cirach","given":"Marta","non-dropping-particle":"","parse-names":false,"suffix":""},{"dropping-particle":"","family":"Vidan","given":"Juana","non-dropping-particle":"","parse-names":false,"suffix":""},{"dropping-particle":"","family":"José","given":"Antonio","non-dropping-particle":"","parse-names":false,"suffix":""},{"dropping-particle":"","family":"Oribe","given":"Madalen","non-dropping-particle":"","parse-names":false,"suffix":""},{"dropping-particle":"","family":"Gràcia-lavedan","given":"Esther","non-dropping-particle":"","parse-names":false,"suffix":""}],"container-title":"International Journal of Hygiene and Environmental Health","id":"ITEM-1","issue":"8","issued":{"date-parts":[["2018"]]},"page":"1097-1106","publisher":"Elsevier","title":"Residential proximity to green spaces and breast cancer risk : The multicase- control study in Spain ( MCC-Spain )","type":"article-journal","volume":"221"},"uris":["http://www.mendeley.com/documents/?uuid=debd2ff8-bfe5-483d-a8b0-853679f043a2"]}],"mendeley":{"formattedCitation":"(O’Callaghan-Gordo et al., 2018)","manualFormatting":"O’Callaghan-Gordo et al. (2018)","plainTextFormattedCitation":"(O’Callaghan-Gordo et al., 2018)","previouslyFormattedCitation":"(O’Callaghan-Gordo et al., 2018)"},"properties":{"noteIndex":0},"schema":"https://github.com/citation-style-language/schema/raw/master/csl-citation.json"}</w:instrText>
      </w:r>
      <w:r w:rsidR="00962683" w:rsidRPr="001F2AD8">
        <w:rPr>
          <w:bCs/>
          <w:color w:val="000000"/>
          <w:lang w:val="en-GB"/>
        </w:rPr>
        <w:fldChar w:fldCharType="separate"/>
      </w:r>
      <w:r w:rsidR="00962683" w:rsidRPr="001F2AD8">
        <w:rPr>
          <w:bCs/>
          <w:noProof/>
          <w:color w:val="000000"/>
          <w:lang w:val="en-GB"/>
        </w:rPr>
        <w:t>O’Callaghan-Gordo et al. (2018)</w:t>
      </w:r>
      <w:r w:rsidR="00962683" w:rsidRPr="001F2AD8">
        <w:rPr>
          <w:bCs/>
          <w:color w:val="000000"/>
          <w:lang w:val="en-GB"/>
        </w:rPr>
        <w:fldChar w:fldCharType="end"/>
      </w:r>
      <w:r w:rsidR="00962683" w:rsidRPr="001F2AD8">
        <w:rPr>
          <w:bCs/>
          <w:color w:val="000000"/>
          <w:lang w:val="en-GB"/>
        </w:rPr>
        <w:t xml:space="preserve"> did not find an interaction between green spaces and menopausal status in relation to breast cancer risk. Hence, further research is needed to confirm our results.</w:t>
      </w:r>
      <w:r w:rsidR="00962683">
        <w:rPr>
          <w:bCs/>
          <w:i/>
          <w:iCs/>
          <w:color w:val="000000"/>
          <w:u w:val="single"/>
          <w:lang w:val="en-GB"/>
        </w:rPr>
        <w:t xml:space="preserve"> </w:t>
      </w:r>
      <w:r w:rsidRPr="00DC5150">
        <w:rPr>
          <w:bCs/>
          <w:lang w:val="en-GB"/>
        </w:rPr>
        <w:t xml:space="preserve">Effect modification by individual and neighbourhood socioeconomic position (SEP) yielded no consistent patterns across the exposures and outcomes studied. Similarly, previous studies did not find significant effect modification by individual or socioeconomic characteristics </w:t>
      </w:r>
      <w:r w:rsidRPr="00DC5150">
        <w:rPr>
          <w:bCs/>
          <w:lang w:val="en-GB"/>
        </w:rPr>
        <w:fldChar w:fldCharType="begin" w:fldLock="1"/>
      </w:r>
      <w:r w:rsidRPr="00DC5150">
        <w:rPr>
          <w:bCs/>
          <w:lang w:val="en-GB"/>
        </w:rPr>
        <w:instrText>ADDIN CSL_CITATION {"citationItems":[{"id":"ITEM-1","itemData":{"DOI":"10.1016/j.ijheh.2018.07.014","ISSN":"1438-4639","author":[{"dropping-particle":"","family":"O'Callaghan-Gordo","given":"Cristina","non-dropping-particle":"","parse-names":false,"suffix":""},{"dropping-particle":"","family":"Kogevinas","given":"Manolis","non-dropping-particle":"","parse-names":false,"suffix":""},{"dropping-particle":"","family":"Cirach","given":"Marta","non-dropping-particle":"","parse-names":false,"suffix":""},{"dropping-particle":"","family":"Vidan","given":"Juana","non-dropping-particle":"","parse-names":false,"suffix":""},{"dropping-particle":"","family":"José","given":"Antonio","non-dropping-particle":"","parse-names":false,"suffix":""},{"dropping-particle":"","family":"Oribe","given":"Madalen","non-dropping-particle":"","parse-names":false,"suffix":""},{"dropping-particle":"","family":"Gràcia-lavedan","given":"Esther","non-dropping-particle":"","parse-names":false,"suffix":""}],"container-title":"International Journal of Hygiene and Environmental Health","id":"ITEM-1","issue":"8","issued":{"date-parts":[["2018"]]},"page":"1097-1106","publisher":"Elsevier","title":"Residential proximity to green spaces and breast cancer risk : The multicase- control study in Spain ( MCC-Spain )","type":"article-journal","volume":"221"},"uris":["http://www.mendeley.com/documents/?uuid=debd2ff8-bfe5-483d-a8b0-853679f043a2"]},{"id":"ITEM-2","itemData":{"DOI":"10.1016/j.envint.2016.10.024","ISSN":"0160-4120","author":[{"dropping-particle":"","family":"Demoury","given":"Claire","non-dropping-particle":"","parse-names":false,"suffix":""},{"dropping-particle":"","family":"Thierry","given":"Benoît","non-dropping-particle":"","parse-names":false,"suffix":""},{"dropping-particle":"","family":"Richard","given":"Hugues","non-dropping-particle":"","parse-names":false,"suffix":""},{"dropping-particle":"","family":"Sigler","given":"Brittany","non-dropping-particle":"","parse-names":false,"suffix":""},{"dropping-particle":"","family":"Kestens","given":"Yan","non-dropping-particle":"","parse-names":false,"suffix":""},{"dropping-particle":"","family":"Parent","given":"Marie-elise","non-dropping-particle":"","parse-names":false,"suffix":""}],"container-title":"Environment International","id":"ITEM-2","issued":{"date-parts":[["2017"]]},"page":"129-136","title":"Residential greenness and risk of prostate cancer : A case-control study in Montreal</w:instrText>
      </w:r>
      <w:r w:rsidRPr="00DC5150">
        <w:rPr>
          <w:bCs/>
          <w:lang w:val="fr-FR"/>
        </w:rPr>
        <w:instrText>, Canada","type":"article-journal","volume":"98"},"uris":["http://www.mendeley.com/documents/?uuid=f3a385ce-2ed3-4904-b03e-169effabc27a"]},{"id":"ITEM-3","itemData":{"DOI":"https://doi.org/10.1289/ehp.1510363","author":[{"dropping-particle":"","family":"James","given":"Peter","non-dropping-particle":"","parse-names":false,"suffix":""},{"dropping-particle":"","family":"Hart","given":"Jaime E","non-dropping-particle":"","parse-names":false,"suffix":""},{"dropping-particle":"","family":"Banay","given":"Rachel F","non-dropping-particle":"","parse-names":false,"suffix":""},{"dropping-particle":"","family":"Laden","given":"Francine","non-dropping-particle":"","parse-names":false,"suffix":""}],"container-title":"Environmental Health Perspectives","id":"ITEM-3","issue":"9","issued":{"date-parts":[["2016"]]},"page":"1344-1352","title":"Exposure to Greenness and Mortality in a Nationwide Prospective Cohort Study of Women","type":"article-journal","volume":"124"},"uris":["http://www.mendeley.com/documents/?uuid=3cd33a22-8a2e-4fcb-be74-437806fb9a42"]}],"mendeley":{"formattedCitation":"(Demoury et al., 2017; James et al., 2016; O’Callaghan-Gordo et al., 2018)","plainTextFormattedCitation":"(Demoury et al., 2017; James et al., 2016; O’Callaghan-Gordo et al., 2018)","previouslyFormattedCitation":"(Demoury et al., 2017; James et al., 2016; O’Callaghan-Gordo et al., 2018)"},"properties":{"noteIndex":0},"schema":"https://github.com/citation-style-language/schema/raw/master/csl-citation.json"}</w:instrText>
      </w:r>
      <w:r w:rsidRPr="00DC5150">
        <w:rPr>
          <w:bCs/>
          <w:lang w:val="en-GB"/>
        </w:rPr>
        <w:fldChar w:fldCharType="separate"/>
      </w:r>
      <w:r w:rsidRPr="00DC5150">
        <w:rPr>
          <w:bCs/>
          <w:noProof/>
          <w:lang w:val="fr-FR"/>
        </w:rPr>
        <w:t>(Demoury et al., 2017; James et al., 2016; O’Callaghan-Gordo et al., 2018)</w:t>
      </w:r>
      <w:r w:rsidRPr="00DC5150">
        <w:rPr>
          <w:bCs/>
          <w:lang w:val="en-GB"/>
        </w:rPr>
        <w:fldChar w:fldCharType="end"/>
      </w:r>
      <w:r w:rsidRPr="00DC5150">
        <w:rPr>
          <w:bCs/>
          <w:lang w:val="fr-FR"/>
        </w:rPr>
        <w:t xml:space="preserve">. </w:t>
      </w:r>
      <w:r w:rsidRPr="00DC5150">
        <w:rPr>
          <w:bCs/>
          <w:lang w:val="en-GB"/>
        </w:rPr>
        <w:t xml:space="preserve">Social inequalities in cancer mortality are well reported in Belgium </w:t>
      </w:r>
      <w:r w:rsidRPr="00DC5150">
        <w:rPr>
          <w:bCs/>
          <w:lang w:val="en-GB"/>
        </w:rPr>
        <w:fldChar w:fldCharType="begin" w:fldLock="1"/>
      </w:r>
      <w:r w:rsidRPr="00DC5150">
        <w:rPr>
          <w:bCs/>
          <w:lang w:val="en-GB"/>
        </w:rPr>
        <w:instrText>ADDIN CSL_CITATION {"citationItems":[{"id":"ITEM-1","itemData":{"DOI":"https://doi.org/10.1002/ijc.31031","ISSN":"0020-7136","abstract":"Our study explores the association between individual and neighborhood socioeconomic position (SEP) and all-cancer and site-specific cancer mortality. Data on all Belgian residents are retrieved from a population-based dataset constructed from the 2001 census linked to register data on emigration and mortality for 2001?2011. The study population contains all men and women aged 40 years or older during follow-up. Individual SEP is measured using education, employment status and housing conditions. Neighborhood SEP is measured by a deprivation index (in quintiles). Directly age-standardized mortality rates and multilevel Poisson models are used to estimate the association between individual SEP and neighborhood deprivation and mortality from all-cancer and cancer of the lung, colon and rectum, pancreas, prostate and female breast. The potential confounding role of population density is assessed using multilevel models as well. Our findings show an increase in mortality from all-cancer and site-specific cancer by decreasing level of individual SEP for both men and women. In addition, individuals living in highly deprived neighborhoods experience significantly higher mortality from all-cancer, lung cancer, pancreatic cancer and female colorectal cancer after controlling for individual SEP. Male colorectal and prostate cancer and female breast cancer are not associated with neighborhood deprivation. Population density acts as a confounder for female lung cancer only. Our study indicates that deprivation at both the individual and neighborhood level is associated with all-cancer mortality and mortality from several cancer sites. More research into the role of life-style related and clinical factors is necessary to gain more insight into causal pathway.","author":[{"dropping-particle":"","family":"Hagedoorn","given":"Paulien","non-dropping-particle":"","parse-names":false,"suffix":""},{"dropping-particle":"","family":"Vandenheede","given":"Hadewijch","non-dropping-particle":"","parse-names":false,"suffix":""},{"dropping-particle":"","family":"Vanthomme","given":"Katrien","non-dropping-particle":"","parse-names":false,"suffix":""},{"dropping-particle":"","family":"Gadeyne","given":"Sylvie","non-dropping-particle":"","parse-names":false,"suffix":""}],"container-title":"International Journal of Cancer","id":"ITEM-1","issue":"1","issued":{"date-parts":[["2018","1","1"]]},"note":"https://doi.org/10.1002/ijc.31031","page":"23-35","publisher":"John Wiley &amp; Sons, Ltd","title":"Socioeconomic position, population density and site-specific cancer mortality: A multilevel analysis of Belgian adults, 2001–2011","type":"article-journal","volume":"142"},"uris":["http://www.mendeley.com/documents/?uuid=1460890e-b81b-4ccb-bdf5-fa3cad7dfb82"]}],"mendeley":{"formattedCitation":"(Hagedoorn et al., 2018)","plainTextFormattedCitation":"(Hagedoorn et al., 2018)","previouslyFormattedCitation":"(Hagedoorn et al., 2018)"},"properties":{"noteIndex":0},"schema":"https://github.com/citation-style-language/schema/raw/master/csl-citation.json"}</w:instrText>
      </w:r>
      <w:r w:rsidRPr="00DC5150">
        <w:rPr>
          <w:bCs/>
          <w:lang w:val="en-GB"/>
        </w:rPr>
        <w:fldChar w:fldCharType="separate"/>
      </w:r>
      <w:r w:rsidRPr="00DC5150">
        <w:rPr>
          <w:bCs/>
          <w:noProof/>
          <w:lang w:val="en-GB"/>
        </w:rPr>
        <w:t>(Hagedoorn et al., 2018)</w:t>
      </w:r>
      <w:r w:rsidRPr="00DC5150">
        <w:rPr>
          <w:bCs/>
          <w:lang w:val="en-GB"/>
        </w:rPr>
        <w:fldChar w:fldCharType="end"/>
      </w:r>
      <w:r w:rsidRPr="00DC5150">
        <w:rPr>
          <w:bCs/>
          <w:lang w:val="en-GB"/>
        </w:rPr>
        <w:t xml:space="preserve">, but exposure to green spaces may not influence health inequalities in cancer, contrarily to what has been suggested for other health outcomes </w:t>
      </w:r>
      <w:r w:rsidRPr="00DC5150">
        <w:rPr>
          <w:bCs/>
          <w:lang w:val="en-GB"/>
        </w:rPr>
        <w:fldChar w:fldCharType="begin" w:fldLock="1"/>
      </w:r>
      <w:r w:rsidRPr="00DC5150">
        <w:rPr>
          <w:bCs/>
          <w:lang w:val="en-GB"/>
        </w:rPr>
        <w:instrText>ADDIN CSL_CITATION {"citationItems":[{"id":"ITEM-1","itemData":{"DOI":"10.1016/S0140-6736(08)61689-X","ISSN":"0140-6736","author":[{"dropping-particle":"","family":"Mitchell","given":"Richard","non-dropping-particle":"","parse-names":false,"suffix":""},{"dropping-particle":"","family":"Popham","given":"Frank","non-dropping-particle":"","parse-names":false,"suffix":""}],"container-title":"The Lancet","id":"ITEM-1","issued":{"date-parts":[["2008"]]},"page":"1655-1660","publisher":"Elsevier Ltd","title":"Effect of exposure to natural environment on health inequalities : an observational population study","type":"article-journal","volume":"372"},"uris":["http://www.mendeley.com/documents/?uuid=a1849850-0cb9-49bd-8440-2c45883fad4c"]}],"mendeley":{"formattedCitation":"(Mitchell and Popham, 2008)","plainTextFormattedCitation":"(Mitchell and Popham, 2008)","previouslyFormattedCitation":"(Mitchell and Popham, 2008)"},"properties":{"noteIndex":0},"schema":"https://github.com/citation-style-language/schema/raw/master/csl-citation.json"}</w:instrText>
      </w:r>
      <w:r w:rsidRPr="00DC5150">
        <w:rPr>
          <w:bCs/>
          <w:lang w:val="en-GB"/>
        </w:rPr>
        <w:fldChar w:fldCharType="separate"/>
      </w:r>
      <w:r w:rsidRPr="00DC5150">
        <w:rPr>
          <w:bCs/>
          <w:noProof/>
          <w:lang w:val="en-GB"/>
        </w:rPr>
        <w:t>(Mitchell and Popham, 2008)</w:t>
      </w:r>
      <w:r w:rsidRPr="00DC5150">
        <w:rPr>
          <w:bCs/>
          <w:lang w:val="en-GB"/>
        </w:rPr>
        <w:fldChar w:fldCharType="end"/>
      </w:r>
      <w:r w:rsidRPr="00DC5150">
        <w:rPr>
          <w:bCs/>
          <w:lang w:val="en-GB"/>
        </w:rPr>
        <w:t>. Further research is thus needed to confirm our results.</w:t>
      </w:r>
    </w:p>
    <w:p w14:paraId="2C6DE21E" w14:textId="77777777" w:rsidR="00D92BB3" w:rsidRPr="001F2AD8" w:rsidRDefault="00D92BB3" w:rsidP="00D92BB3">
      <w:pPr>
        <w:spacing w:line="276" w:lineRule="auto"/>
        <w:jc w:val="both"/>
        <w:rPr>
          <w:b/>
          <w:lang w:val="en-GB"/>
        </w:rPr>
      </w:pPr>
      <w:r w:rsidRPr="001F2AD8">
        <w:rPr>
          <w:b/>
          <w:lang w:val="en-GB"/>
        </w:rPr>
        <w:t>4.3. Strengths and limitations</w:t>
      </w:r>
    </w:p>
    <w:p w14:paraId="7531EE49" w14:textId="1E19043A" w:rsidR="00C54871" w:rsidRDefault="00691683" w:rsidP="00D35E91">
      <w:pPr>
        <w:spacing w:line="276" w:lineRule="auto"/>
        <w:jc w:val="both"/>
        <w:rPr>
          <w:bCs/>
          <w:lang w:val="en-GB"/>
        </w:rPr>
      </w:pPr>
      <w:r>
        <w:rPr>
          <w:bCs/>
          <w:lang w:val="en-GB"/>
        </w:rPr>
        <w:t>The findings in our study should be interpreted along with its</w:t>
      </w:r>
      <w:r w:rsidR="00C51BF3">
        <w:rPr>
          <w:bCs/>
          <w:lang w:val="en-GB"/>
        </w:rPr>
        <w:t xml:space="preserve"> several limitations. </w:t>
      </w:r>
      <w:r w:rsidR="00916EAD" w:rsidRPr="001F2AD8">
        <w:rPr>
          <w:bCs/>
          <w:lang w:val="en-GB"/>
        </w:rPr>
        <w:t xml:space="preserve">Although we were able to adjust for several key potential confounders, our estimates may still be affected by residual confounding. We lacked information related to lifestyle factors, such as alcohol consumption or tobacco use, which are well-known risk factors of the site-specific cancers under study </w:t>
      </w:r>
      <w:r w:rsidR="00916EAD" w:rsidRPr="001F2AD8">
        <w:rPr>
          <w:bCs/>
          <w:lang w:val="en-GB"/>
        </w:rPr>
        <w:fldChar w:fldCharType="begin" w:fldLock="1"/>
      </w:r>
      <w:r w:rsidR="00916EAD" w:rsidRPr="001F2AD8">
        <w:rPr>
          <w:bCs/>
          <w:lang w:val="en-GB"/>
        </w:rPr>
        <w:instrText>ADDIN CSL_CITATION {"citationItems":[{"id":"ITEM-1","itemData":{"URL":"https://www.who.int/news-room/fact-sheets/detail/cancer#:~:text=Risk factors for cancers,- and middle-income countries.","accessed":{"date-parts":[["2022","3","31"]]},"author":[{"dropping-particle":"","family":"WHO","given":"","non-dropping-particle":"","parse-names":false,"suffix":""}],"id":"ITEM-1","issued":{"date-parts":[["2022"]]},"title":"Cancer","type":"webpage"},"uris":["http://www.mendeley.com/documents/?uuid=56728845-d30d-47d2-8566-128c15d65253"]}],"mendeley":{"formattedCitation":"(WHO, 2022)","plainTextFormattedCitation":"(WHO, 2022)","previouslyFormattedCitation":"(WHO, 2022)"},"properties":{"noteIndex":0},"schema":"https://github.com/citation-style-language/schema/raw/master/csl-citation.json"}</w:instrText>
      </w:r>
      <w:r w:rsidR="00916EAD" w:rsidRPr="001F2AD8">
        <w:rPr>
          <w:bCs/>
          <w:lang w:val="en-GB"/>
        </w:rPr>
        <w:fldChar w:fldCharType="separate"/>
      </w:r>
      <w:r w:rsidR="00916EAD" w:rsidRPr="001F2AD8">
        <w:rPr>
          <w:bCs/>
          <w:noProof/>
          <w:lang w:val="en-GB"/>
        </w:rPr>
        <w:t>(WHO, 2022)</w:t>
      </w:r>
      <w:r w:rsidR="00916EAD" w:rsidRPr="001F2AD8">
        <w:rPr>
          <w:bCs/>
          <w:lang w:val="en-GB"/>
        </w:rPr>
        <w:fldChar w:fldCharType="end"/>
      </w:r>
      <w:r w:rsidR="00916EAD" w:rsidRPr="001F2AD8">
        <w:rPr>
          <w:bCs/>
          <w:lang w:val="en-GB"/>
        </w:rPr>
        <w:t xml:space="preserve">. The study by </w:t>
      </w:r>
      <w:r w:rsidR="00916EAD" w:rsidRPr="001F2AD8">
        <w:rPr>
          <w:bCs/>
          <w:lang w:val="en-GB"/>
        </w:rPr>
        <w:fldChar w:fldCharType="begin" w:fldLock="1"/>
      </w:r>
      <w:r w:rsidR="00916EAD" w:rsidRPr="001F2AD8">
        <w:rPr>
          <w:bCs/>
          <w:lang w:val="en-GB"/>
        </w:rPr>
        <w:instrText>ADDIN CSL_CITATION {"citationItems":[{"id":"ITEM-1","itemData":{"DOI":"https://doi.org/10.1016/j.envint.2019.105341","ISSN":"0160-4120","abstract":"Background Most previous studies that investigated associations of surrounding green, air pollution or traffic noise with mortality focused on single exposures. Objectives The aim of this study was to evaluate combined associations of long-term residential exposure to surrounding green, air pollution and traffic noise with total non-accidental and cause-specific mortality. Methods We linked a national health survey (Public Health Monitor, PHM) conducted in 2012 to the Dutch longitudinal mortality database. Subjects of the survey who were 30 years or older on 1 January 2013 (n = 339,633) were followed from 1 January 2013 till 31 December 2017. We used Cox proportional hazard models to evaluate associations of residential surrounding green (including the average Normalized Difference Vegetation Index (NDVI) in buffers of 300 m and 1000 m), annual average air pollutant concentrations (including particulate matter (PM10, PM2.5), nitrogen dioxide (NO2)) and traffic noise with non-accidental, circulatory disease, respiratory disease, lung cancer and neurodegenerative disease mortality. Results We observed 26,886 non-accidental deaths over 1.627.365 person-years of follow-up. Surrounding green, air pollution and traffic noise exposure were not significantly associated with non-accidental or cause-specific mortality. For non-accidental mortality, we found a hazard ratio (HR) of 0.99 (0.98, 1.01) per IQR increase in NDVI 300 m, a HR of 0.99 (95% CI: 0.97, 1.01) per IQR increase in NO2, a HR of 0.98 (0.97, 1.00) per IQR increase in PM2.5 and a HR of 0.99 (95% CI: 0.97, 1.01) per IQR increase in road-traffic noise. Analyses restricted to non-movers or excluding subjects aged 85+ years did not change the findings. Conclusion We found no evidence for associations of long-term residential exposures to surrounding green, air pollution and traffic noise with non-accidental or cause-specific mortality in a large population based survey in the Netherlands, possibly related to the relatively short follow-up period.","author":[{"dropping-particle":"","family":"Klompmaker","given":"Jochem O","non-dropping-particle":"","parse-names":false,"suffix":""},{"dropping-particle":"","family":"Hoek","given":"Gerard","non-dropping-particle":"","parse-names":false,"suffix":""},{"dropping-particle":"","family":"Bloemsma","given":"Lizan D","non-dropping-particle":"","parse-names":false,"suffix":""},{"dropping-particle":"","family":"Marra","given":"Marten","non-dropping-particle":"","parse-names":false,"suffix":""},{"dropping-particle":"","family":"Wijga","given":"Alet H","non-dropping-particle":"","parse-names":false,"suffix":""},{"dropping-particle":"","family":"Brink","given":"Carolien","non-dropping-particle":"van den","parse-names":false,"suffix":""},{"dropping-particle":"","family":"Brunekreef","given":"Bert","non-dropping-particle":"","parse-names":false,"suffix":""},{"dropping-particle":"","family":"Lebret","given":"Erik","non-dropping-particle":"","parse-names":false,"suffix":""},{"dropping-particle":"","family":"Gehring","given":"Ulrike","non-dropping-particle":"","parse-names":false,"suffix":""},{"dropping-particle":"","family":"Janssen","given":"Nicole A H","non-dropping-particle":"","parse-names":false,"suffix":""}],"container-title":"Environment International","id":"ITEM-1","issued":{"date-parts":[["2020"]]},"page":"105341","title":"Surrounding green, air pollution, traffic noise exposure and non-accidental and cause-specific mortality","type":"article-journal","volume":"134"},"uris":["http://www.mendeley.com/documents/?uuid=945f8fad-4afc-4fe9-837f-2bdd8f0b0ce0"]}],"mendeley":{"formattedCitation":"(Klompmaker et al., 2020)","manualFormatting":"Klompmaker et al. (2020)","plainTextFormattedCitation":"(Klompmaker et al., 2020)","previouslyFormattedCitation":"(Klompmaker et al., 2020)"},"properties":{"noteIndex":0},"schema":"https://github.com/citation-style-language/schema/raw/master/csl-citation.json"}</w:instrText>
      </w:r>
      <w:r w:rsidR="00916EAD" w:rsidRPr="001F2AD8">
        <w:rPr>
          <w:bCs/>
          <w:lang w:val="en-GB"/>
        </w:rPr>
        <w:fldChar w:fldCharType="separate"/>
      </w:r>
      <w:r w:rsidR="00916EAD" w:rsidRPr="001F2AD8">
        <w:rPr>
          <w:bCs/>
          <w:noProof/>
          <w:lang w:val="en-GB"/>
        </w:rPr>
        <w:t>Klompmaker et al. (2020)</w:t>
      </w:r>
      <w:r w:rsidR="00916EAD" w:rsidRPr="001F2AD8">
        <w:rPr>
          <w:bCs/>
          <w:lang w:val="en-GB"/>
        </w:rPr>
        <w:fldChar w:fldCharType="end"/>
      </w:r>
      <w:r w:rsidR="00916EAD" w:rsidRPr="001F2AD8">
        <w:rPr>
          <w:bCs/>
          <w:lang w:val="en-GB"/>
        </w:rPr>
        <w:t xml:space="preserve"> did adjust for these factors, and the association between exposure to surrounding greenness and lung cancer mortality </w:t>
      </w:r>
      <w:r w:rsidR="00916EAD" w:rsidRPr="001F2AD8">
        <w:rPr>
          <w:bCs/>
          <w:lang w:val="en-GB"/>
        </w:rPr>
        <w:lastRenderedPageBreak/>
        <w:t>was considerably attenuated. Information on other important covariates that could lie in the causal pathway between green spaces and site-specific cancer mortality, like stress or physical activity, was also unavailable in our study. These data could have helped explain the mechanisms involved in the observed</w:t>
      </w:r>
      <w:r w:rsidR="00916EAD">
        <w:rPr>
          <w:bCs/>
          <w:i/>
          <w:iCs/>
          <w:u w:val="single"/>
          <w:lang w:val="en-GB"/>
        </w:rPr>
        <w:t xml:space="preserve"> </w:t>
      </w:r>
      <w:r w:rsidR="00916EAD" w:rsidRPr="00916EAD">
        <w:rPr>
          <w:bCs/>
          <w:lang w:val="en-GB"/>
        </w:rPr>
        <w:t>associations between green spaces’ indicators and site-specific cancer mortality, including differences by gender.</w:t>
      </w:r>
      <w:r w:rsidR="00916EAD">
        <w:rPr>
          <w:bCs/>
          <w:i/>
          <w:iCs/>
          <w:lang w:val="en-GB"/>
        </w:rPr>
        <w:t xml:space="preserve"> </w:t>
      </w:r>
      <w:r w:rsidR="00916EAD" w:rsidRPr="001F2AD8">
        <w:rPr>
          <w:bCs/>
          <w:lang w:val="en-GB"/>
        </w:rPr>
        <w:t xml:space="preserve">Nevertheless, despite this limitation, we were able to evaluate the role of another suggested mechanism, mitigation of air pollution, using high-resolution individual data of exposure to different pollutants. </w:t>
      </w:r>
      <w:r w:rsidR="005F6A68" w:rsidRPr="001F2AD8">
        <w:rPr>
          <w:bCs/>
          <w:color w:val="000000"/>
          <w:lang w:val="en-GB"/>
        </w:rPr>
        <w:t xml:space="preserve">Another important limitation is that exposure assessment of green spaces was only available for the year 2006. </w:t>
      </w:r>
      <w:r w:rsidR="007C675F" w:rsidRPr="001F2AD8">
        <w:rPr>
          <w:bCs/>
          <w:color w:val="000000"/>
          <w:lang w:val="en-GB"/>
        </w:rPr>
        <w:t>Although we acknowledge that the quantity of green spaces may have varied during the period under study, we assumed that their spatial distribution remained relatively stable.</w:t>
      </w:r>
      <w:r w:rsidR="005F6A68" w:rsidRPr="001F2AD8">
        <w:rPr>
          <w:bCs/>
          <w:color w:val="000000"/>
          <w:lang w:val="en-GB"/>
        </w:rPr>
        <w:t xml:space="preserve"> The year of measurement of exposure to green spaces was close to the middle of the follow-up period, which potentially captured the average exposure throughout follow-up. </w:t>
      </w:r>
      <w:r w:rsidR="004B4FFE" w:rsidRPr="001F2AD8">
        <w:rPr>
          <w:bCs/>
          <w:color w:val="000000"/>
          <w:lang w:val="en-GB"/>
        </w:rPr>
        <w:t>Air pollution data was only available for the years 2005 and 2010. We purposely used the 2010 measurement so that the time of measurement of the exposure preceded that of the mediator.</w:t>
      </w:r>
      <w:r w:rsidR="004B4FFE" w:rsidRPr="004B4FFE">
        <w:rPr>
          <w:bCs/>
          <w:i/>
          <w:iCs/>
          <w:color w:val="000000"/>
          <w:lang w:val="en-GB"/>
        </w:rPr>
        <w:t xml:space="preserve"> </w:t>
      </w:r>
      <w:r w:rsidR="00CA564E">
        <w:rPr>
          <w:bCs/>
          <w:lang w:val="en-GB"/>
        </w:rPr>
        <w:t xml:space="preserve">Moreover, exposure assessment was based on the residential address of </w:t>
      </w:r>
      <w:proofErr w:type="gramStart"/>
      <w:r w:rsidR="00CA564E">
        <w:rPr>
          <w:bCs/>
          <w:lang w:val="en-GB"/>
        </w:rPr>
        <w:t>each individual</w:t>
      </w:r>
      <w:proofErr w:type="gramEnd"/>
      <w:r w:rsidR="00CA564E">
        <w:rPr>
          <w:bCs/>
          <w:lang w:val="en-GB"/>
        </w:rPr>
        <w:t xml:space="preserve"> at baseline</w:t>
      </w:r>
      <w:r w:rsidR="00B378A6">
        <w:rPr>
          <w:bCs/>
          <w:lang w:val="en-GB"/>
        </w:rPr>
        <w:t xml:space="preserve"> (2001)</w:t>
      </w:r>
      <w:r w:rsidR="00CA564E">
        <w:rPr>
          <w:bCs/>
          <w:lang w:val="en-GB"/>
        </w:rPr>
        <w:t xml:space="preserve">, and no information on </w:t>
      </w:r>
      <w:r w:rsidR="00B378A6">
        <w:rPr>
          <w:bCs/>
          <w:lang w:val="en-GB"/>
        </w:rPr>
        <w:t xml:space="preserve">residential changes </w:t>
      </w:r>
      <w:r w:rsidR="00CA564E">
        <w:rPr>
          <w:bCs/>
          <w:lang w:val="en-GB"/>
        </w:rPr>
        <w:t>during follow-up was available</w:t>
      </w:r>
      <w:r w:rsidR="00B378A6">
        <w:rPr>
          <w:bCs/>
          <w:lang w:val="en-GB"/>
        </w:rPr>
        <w:t xml:space="preserve"> (2001-2014)</w:t>
      </w:r>
      <w:r w:rsidR="00CA564E">
        <w:rPr>
          <w:bCs/>
          <w:lang w:val="en-GB"/>
        </w:rPr>
        <w:t xml:space="preserve">. </w:t>
      </w:r>
      <w:r w:rsidR="00B378A6">
        <w:rPr>
          <w:bCs/>
          <w:lang w:val="en-GB"/>
        </w:rPr>
        <w:t xml:space="preserve">However, we were able to select a subgroup of the population </w:t>
      </w:r>
      <w:r w:rsidR="003E5142">
        <w:rPr>
          <w:bCs/>
          <w:lang w:val="en-GB"/>
        </w:rPr>
        <w:t xml:space="preserve">who resided in the same census tract </w:t>
      </w:r>
      <w:r w:rsidR="00174ED3">
        <w:rPr>
          <w:bCs/>
          <w:lang w:val="en-GB"/>
        </w:rPr>
        <w:t xml:space="preserve">10 years prior to the start of the follow-up (1991-2001), </w:t>
      </w:r>
      <w:r w:rsidR="00125B45">
        <w:rPr>
          <w:bCs/>
          <w:lang w:val="en-GB"/>
        </w:rPr>
        <w:t>which confirmed our main results.</w:t>
      </w:r>
      <w:r w:rsidR="001D4B7B" w:rsidRPr="001D4B7B">
        <w:t xml:space="preserve"> </w:t>
      </w:r>
      <w:r w:rsidR="00223DB3" w:rsidRPr="001F2AD8">
        <w:rPr>
          <w:color w:val="000000"/>
          <w:lang w:val="en-GB"/>
        </w:rPr>
        <w:t>Another limitation of our exposure assessment is that we did not have information on episodes of nature interaction, for instance, on the time spent in green spaces, the frequency of visits, or type of use (e.g., picnicking, walking).</w:t>
      </w:r>
      <w:r w:rsidR="00223DB3" w:rsidRPr="001F2AD8">
        <w:rPr>
          <w:bCs/>
          <w:lang w:val="en-GB"/>
        </w:rPr>
        <w:t xml:space="preserve"> </w:t>
      </w:r>
      <w:r w:rsidR="001D4B7B" w:rsidRPr="001F2AD8">
        <w:rPr>
          <w:bCs/>
          <w:lang w:val="en-GB"/>
        </w:rPr>
        <w:t>In addition, assessing exposure exclusively at residence may lead to exposure misclassification, as exposure to green spaces may occur in other contexts, e.g., at the workplace or during holidays.</w:t>
      </w:r>
      <w:r w:rsidR="00F66E6E" w:rsidRPr="001F2AD8">
        <w:rPr>
          <w:bCs/>
          <w:lang w:val="en-GB"/>
        </w:rPr>
        <w:t xml:space="preserve"> </w:t>
      </w:r>
      <w:r w:rsidR="0011477D" w:rsidRPr="001F2AD8">
        <w:rPr>
          <w:lang w:val="en-GB"/>
        </w:rPr>
        <w:t>I</w:t>
      </w:r>
      <w:r w:rsidR="000C5F3B" w:rsidRPr="001F2AD8">
        <w:rPr>
          <w:lang w:val="en-GB"/>
        </w:rPr>
        <w:t>nformation on sociodemographic and socioeconomic characteristics was available at baseline (2001)</w:t>
      </w:r>
      <w:r w:rsidR="00B70BD5" w:rsidRPr="001F2AD8">
        <w:rPr>
          <w:lang w:val="en-GB"/>
        </w:rPr>
        <w:t xml:space="preserve"> only</w:t>
      </w:r>
      <w:r w:rsidR="000C5F3B" w:rsidRPr="001F2AD8">
        <w:rPr>
          <w:lang w:val="en-GB"/>
        </w:rPr>
        <w:t xml:space="preserve">. </w:t>
      </w:r>
      <w:r w:rsidR="007F5E41" w:rsidRPr="001F2AD8">
        <w:rPr>
          <w:lang w:val="en-GB"/>
        </w:rPr>
        <w:t>Although there is still a probability of residual confounding, we believe it is minimal</w:t>
      </w:r>
      <w:r w:rsidR="000C5F3B" w:rsidRPr="001F2AD8">
        <w:rPr>
          <w:lang w:val="en-GB"/>
        </w:rPr>
        <w:t>,</w:t>
      </w:r>
      <w:r w:rsidR="007F5E41" w:rsidRPr="001F2AD8">
        <w:rPr>
          <w:lang w:val="en-GB"/>
        </w:rPr>
        <w:t xml:space="preserve"> as</w:t>
      </w:r>
      <w:r w:rsidR="000C5F3B" w:rsidRPr="001F2AD8">
        <w:rPr>
          <w:lang w:val="en-GB"/>
        </w:rPr>
        <w:t xml:space="preserve"> we </w:t>
      </w:r>
      <w:r w:rsidR="000C5F3B" w:rsidRPr="006241E5">
        <w:rPr>
          <w:i/>
          <w:iCs/>
          <w:lang w:val="en-GB"/>
        </w:rPr>
        <w:t>a priori</w:t>
      </w:r>
      <w:r w:rsidR="000C5F3B" w:rsidRPr="001F2AD8">
        <w:rPr>
          <w:lang w:val="en-GB"/>
        </w:rPr>
        <w:t xml:space="preserve"> selected variables capturing long-term </w:t>
      </w:r>
      <w:r w:rsidR="007E7766" w:rsidRPr="001F2AD8">
        <w:rPr>
          <w:lang w:val="en-GB"/>
        </w:rPr>
        <w:t>SEP</w:t>
      </w:r>
      <w:r w:rsidR="000C5F3B" w:rsidRPr="001F2AD8">
        <w:rPr>
          <w:lang w:val="en-GB"/>
        </w:rPr>
        <w:t xml:space="preserve">, e.g., educational level or housing tenure, which are thus unlikely to </w:t>
      </w:r>
      <w:r w:rsidR="004C24FC" w:rsidRPr="001F2AD8">
        <w:rPr>
          <w:lang w:val="en-GB"/>
        </w:rPr>
        <w:t>change considerably</w:t>
      </w:r>
      <w:r w:rsidR="000C5F3B" w:rsidRPr="001F2AD8">
        <w:rPr>
          <w:lang w:val="en-GB"/>
        </w:rPr>
        <w:t xml:space="preserve"> over time in the adult population </w:t>
      </w:r>
      <w:r w:rsidR="000C5F3B" w:rsidRPr="001F2AD8">
        <w:rPr>
          <w:lang w:val="en-GB"/>
        </w:rPr>
        <w:fldChar w:fldCharType="begin" w:fldLock="1"/>
      </w:r>
      <w:r w:rsidR="000C5F3B" w:rsidRPr="001F2AD8">
        <w:rPr>
          <w:lang w:val="en-GB"/>
        </w:rPr>
        <w:instrText>ADDIN CSL_CITATION {"citationItems":[{"id":"ITEM-1","itemData":{"DOI":"10.1136/jech.2004.023531","author":[{"dropping-particle":"","family":"Galobardes","given":"Bruna","non-dropping-particle":"","parse-names":false,"suffix":""},{"dropping-particle":"","family":"Shaw","given":"Mary","non-dropping-particle":"","parse-names":false,"suffix":""},{"dropping-particle":"","family":"Lawlor","given":"Debbie A","non-dropping-particle":"","parse-names":false,"suffix":""},{"dropping-particle":"","family":"Lynch","given":"John W","non-dropping-particle":"","parse-names":false,"suffix":""},{"dropping-particle":"","family":"Smith","given":"George Davey","non-dropping-particle":"","parse-names":false,"suffix":""}],"container-title":"J Epidemiol Community Health","id":"ITEM-1","issued":{"date-parts":[["2006"]]},"page":"7-12","title":"Indicators of socioeconomic position (part 1)","type":"article-journal","volume":"60"},"uris":["http://www.mendeley.com/documents/?uuid=fbb1f9f1-e520-4a8a-990f-35041c5b94e4"]}],"mendeley":{"formattedCitation":"(Galobardes et al., 2006)","plainTextFormattedCitation":"(Galobardes et al., 2006)","previouslyFormattedCitation":"(Galobardes et al., 2006)"},"properties":{"noteIndex":0},"schema":"https://github.com/citation-style-language/schema/raw/master/csl-citation.json"}</w:instrText>
      </w:r>
      <w:r w:rsidR="000C5F3B" w:rsidRPr="001F2AD8">
        <w:rPr>
          <w:lang w:val="en-GB"/>
        </w:rPr>
        <w:fldChar w:fldCharType="separate"/>
      </w:r>
      <w:r w:rsidR="000C5F3B" w:rsidRPr="001F2AD8">
        <w:rPr>
          <w:noProof/>
          <w:lang w:val="en-GB"/>
        </w:rPr>
        <w:t>(Galobardes et al., 2006)</w:t>
      </w:r>
      <w:r w:rsidR="000C5F3B" w:rsidRPr="001F2AD8">
        <w:rPr>
          <w:lang w:val="en-GB"/>
        </w:rPr>
        <w:fldChar w:fldCharType="end"/>
      </w:r>
      <w:r w:rsidR="000C5F3B" w:rsidRPr="001F2AD8">
        <w:rPr>
          <w:lang w:val="en-GB"/>
        </w:rPr>
        <w:t>.</w:t>
      </w:r>
      <w:r w:rsidR="000C5F3B">
        <w:rPr>
          <w:i/>
          <w:iCs/>
          <w:lang w:val="en-GB"/>
        </w:rPr>
        <w:t xml:space="preserve"> </w:t>
      </w:r>
      <w:r w:rsidR="00065783">
        <w:rPr>
          <w:bCs/>
          <w:lang w:val="en-GB"/>
        </w:rPr>
        <w:t>Finally</w:t>
      </w:r>
      <w:r w:rsidR="00D14A12">
        <w:rPr>
          <w:bCs/>
          <w:lang w:val="en-GB"/>
        </w:rPr>
        <w:t>, our</w:t>
      </w:r>
      <w:r w:rsidR="00D14A12" w:rsidRPr="00692B0F">
        <w:rPr>
          <w:bCs/>
          <w:lang w:val="en-GB"/>
        </w:rPr>
        <w:t xml:space="preserve"> </w:t>
      </w:r>
      <w:r w:rsidR="00D14A12">
        <w:rPr>
          <w:bCs/>
          <w:lang w:val="en-GB"/>
        </w:rPr>
        <w:t>data did not allow us to distinguish between cancer survival and incidence</w:t>
      </w:r>
      <w:r w:rsidR="00A411BE" w:rsidRPr="00D22F87">
        <w:rPr>
          <w:i/>
          <w:iCs/>
          <w:color w:val="000000"/>
          <w:lang w:val="en-GB"/>
        </w:rPr>
        <w:t>,</w:t>
      </w:r>
      <w:r w:rsidR="00A411BE" w:rsidRPr="00D22F87">
        <w:rPr>
          <w:i/>
          <w:iCs/>
          <w:color w:val="000000"/>
          <w:u w:val="single"/>
          <w:lang w:val="en-GB"/>
        </w:rPr>
        <w:t xml:space="preserve"> </w:t>
      </w:r>
      <w:r w:rsidR="00A411BE" w:rsidRPr="001F2AD8">
        <w:rPr>
          <w:color w:val="000000"/>
          <w:lang w:val="en-GB"/>
        </w:rPr>
        <w:t xml:space="preserve">which would </w:t>
      </w:r>
      <w:r w:rsidR="00B16606" w:rsidRPr="001F2AD8">
        <w:rPr>
          <w:color w:val="000000"/>
          <w:lang w:val="en-GB"/>
        </w:rPr>
        <w:t xml:space="preserve">result in </w:t>
      </w:r>
      <w:r w:rsidR="00A411BE" w:rsidRPr="001F2AD8">
        <w:rPr>
          <w:color w:val="000000"/>
          <w:lang w:val="en-GB"/>
        </w:rPr>
        <w:t>a better picture of cancer risk related to greenspace exposure in our study population</w:t>
      </w:r>
      <w:r w:rsidR="00B36BD4" w:rsidRPr="001F2AD8">
        <w:rPr>
          <w:bCs/>
          <w:lang w:val="en-GB"/>
        </w:rPr>
        <w:t>.</w:t>
      </w:r>
      <w:r w:rsidR="00FA0F33" w:rsidRPr="001F2AD8">
        <w:rPr>
          <w:bCs/>
          <w:lang w:val="en-GB"/>
        </w:rPr>
        <w:t xml:space="preserve"> </w:t>
      </w:r>
      <w:r w:rsidR="00D01DD0" w:rsidRPr="001F2AD8">
        <w:rPr>
          <w:color w:val="000000"/>
          <w:lang w:val="en-GB"/>
        </w:rPr>
        <w:t xml:space="preserve">Data on site-specific cancer mortality was derived from death certificates. Although standardized coding rules are used in Belgium, misclassification of cause of death is possible. </w:t>
      </w:r>
      <w:r w:rsidR="008F49B9" w:rsidRPr="001F2AD8">
        <w:rPr>
          <w:color w:val="000000"/>
          <w:lang w:val="en-GB"/>
        </w:rPr>
        <w:t xml:space="preserve">Individuals with more comorbidities are more likely to have cause of death misclassified. If these comorbidities were linked to green spaces, e.g., cardiovascular diseases, this could affect our estimates. However, a potential bias can reasonably be expected to be conservative and deviate estimates to the null. </w:t>
      </w:r>
      <w:r w:rsidR="00D01DD0" w:rsidRPr="001F2AD8">
        <w:rPr>
          <w:color w:val="000000"/>
          <w:lang w:val="en-GB"/>
        </w:rPr>
        <w:t xml:space="preserve">In a recent study evaluating concordance between death certificates and medical files to identify breast cancer-specific death in Belgium, a fair agreement between both data sources was reported </w:t>
      </w:r>
      <w:r w:rsidR="00D01DD0" w:rsidRPr="001F2AD8">
        <w:rPr>
          <w:color w:val="000000"/>
          <w:lang w:val="en-GB"/>
        </w:rPr>
        <w:fldChar w:fldCharType="begin" w:fldLock="1"/>
      </w:r>
      <w:r w:rsidR="00D01DD0" w:rsidRPr="001F2AD8">
        <w:rPr>
          <w:color w:val="000000"/>
          <w:lang w:val="en-GB"/>
        </w:rPr>
        <w:instrText>ADDIN CSL_CITATION {"citationItems":[{"id":"ITEM-1","itemData":{"DOI":"10.1186/s13690-021-00637-w","ISSN":"2049-3258","abstract":"Registration and coding of cause of death is prone to error since determining the exact underlying condition leading directly to death is challenging. In this study, causes of death from the death certificates were compared to patients’ medical files interpreted by experts at University Hospitals Leuven (UHL), to assess concordance between sources and its impact on cancer survival assessment.","author":[{"dropping-particle":"","family":"Izci","given":"Hava","non-dropping-particle":"","parse-names":false,"suffix":""},{"dropping-particle":"","family":"Tambuyzer","given":"Tim","non-dropping-particle":"","parse-names":false,"suffix":""},{"dropping-particle":"","family":"Vandeven","given":"Jessica","non-dropping-particle":"","parse-names":false,"suffix":""},{"dropping-particle":"","family":"Xicluna","given":"Jérôme","non-dropping-particle":"","parse-names":false,"suffix":""},{"dropping-particle":"","family":"Wildiers","given":"Hans","non-dropping-particle":"","parse-names":false,"suffix":""},{"dropping-particle":"","family":"Punie","given":"Kevin","non-dropping-particle":"","parse-names":false,"suffix":""},{"dropping-particle":"","family":"Willers","given":"Nynke","non-dropping-particle":"","parse-names":false,"suffix":""},{"dropping-particle":"","family":"Oldenburger","given":"Eva","non-dropping-particle":"","parse-names":false,"suffix":""},{"dropping-particle":"","family":"Nieuwenhuysen","given":"Els","non-dropping-particle":"Van","parse-names":false,"suffix":""},{"dropping-particle":"","family":"Berteloot","given":"Patrick","non-dropping-particle":"","parse-names":false,"suffix":""},{"dropping-particle":"","family":"Smeets","given":"Ann","non-dropping-particle":"","parse-names":false,"suffix":""},{"dropping-particle":"","family":"Nevelsteen","given":"Ines","non-dropping-particle":"","parse-names":false,"suffix":""},{"dropping-particle":"","family":"Deblander","given":"Anne","non-dropping-particle":"","parse-names":false,"suffix":""},{"dropping-particle":"","family":"Schutter","given":"Harlinde","non-dropping-particle":"De","parse-names":false,"suffix":""},{"dropping-particle":"","family":"Neven","given":"Patrick","non-dropping-particle":"","parse-names":false,"suffix":""},{"dropping-particle":"","family":"Silversmit","given":"Geert","non-dropping-particle":"","parse-names":false,"suffix":""},{"dropping-particle":"","family":"Verdoodt","given":"Freija","non-dropping-particle":"","parse-names":false,"suffix":""}],"container-title":"Archives of Public Health","id":"ITEM-1","issue":"1","issued":{"date-parts":[["2021"]]},"page":"111","title":"Cause of death for patients with breast cancer: discordance between death certificates and medical files, and impact on survival estimates","type":"article-journal","volume":"79"},"uris":["http://www.mendeley.com/documents/?uuid=d88cbbfb-09bc-4518-9c07-3542bcbe3f55"]}],"mendeley":{"formattedCitation":"(Izci et al., 2021)","plainTextFormattedCitation":"(Izci et al., 2021)","previouslyFormattedCitation":"(Izci et al., 2021)"},"properties":{"noteIndex":0},"schema":"https://github.com/citation-style-language/schema/raw/master/csl-citation.json"}</w:instrText>
      </w:r>
      <w:r w:rsidR="00D01DD0" w:rsidRPr="001F2AD8">
        <w:rPr>
          <w:color w:val="000000"/>
          <w:lang w:val="en-GB"/>
        </w:rPr>
        <w:fldChar w:fldCharType="separate"/>
      </w:r>
      <w:r w:rsidR="00D01DD0" w:rsidRPr="001F2AD8">
        <w:rPr>
          <w:noProof/>
          <w:color w:val="000000"/>
          <w:lang w:val="en-GB"/>
        </w:rPr>
        <w:t>(Izci et al., 2021)</w:t>
      </w:r>
      <w:r w:rsidR="00D01DD0" w:rsidRPr="001F2AD8">
        <w:rPr>
          <w:color w:val="000000"/>
          <w:lang w:val="en-GB"/>
        </w:rPr>
        <w:fldChar w:fldCharType="end"/>
      </w:r>
      <w:r w:rsidR="00D01DD0" w:rsidRPr="001F2AD8">
        <w:rPr>
          <w:color w:val="000000"/>
          <w:lang w:val="en-GB"/>
        </w:rPr>
        <w:t>. Similar estimates are to be expected for other cancer types. In this regard,</w:t>
      </w:r>
      <w:r w:rsidR="00D01DD0" w:rsidRPr="001F2AD8">
        <w:rPr>
          <w:lang w:val="en-GB"/>
        </w:rPr>
        <w:t xml:space="preserve"> </w:t>
      </w:r>
      <w:r w:rsidR="00D01DD0" w:rsidRPr="001F2AD8">
        <w:rPr>
          <w:color w:val="000000"/>
          <w:lang w:val="en-GB"/>
        </w:rPr>
        <w:t>we also ignored if people had cancer or related disorders at baseline. However, we could identify a subsample of individuals reporting (very) good self-perceived health and not having longstanding illnesses at baseline, and our results did not change substantially</w:t>
      </w:r>
      <w:r w:rsidR="00C54871" w:rsidRPr="001F2AD8">
        <w:rPr>
          <w:bCs/>
          <w:lang w:val="en-GB"/>
        </w:rPr>
        <w:t>.</w:t>
      </w:r>
      <w:r w:rsidR="00C54871">
        <w:rPr>
          <w:bCs/>
          <w:lang w:val="en-GB"/>
        </w:rPr>
        <w:t xml:space="preserve"> </w:t>
      </w:r>
    </w:p>
    <w:p w14:paraId="0329EF4C" w14:textId="6FA0103E" w:rsidR="00D90D29" w:rsidRPr="001F2AD8" w:rsidRDefault="00251397" w:rsidP="00D35E91">
      <w:pPr>
        <w:spacing w:line="276" w:lineRule="auto"/>
        <w:jc w:val="both"/>
        <w:rPr>
          <w:bCs/>
          <w:lang w:val="en-GB"/>
        </w:rPr>
      </w:pPr>
      <w:r w:rsidRPr="001F2AD8">
        <w:rPr>
          <w:bCs/>
          <w:lang w:val="en-GB"/>
        </w:rPr>
        <w:lastRenderedPageBreak/>
        <w:t>Our study also presents several strengths. We used a large and representative dataset including the total population officially residing in urban Belgium at baseline (2001) with a long follow-up period (2001-2014). We furthermore used a complex matrix of green spaces’ indicators, aiming to capture different quantitative and qualitative features of residential natural environments. We also conducted mediation analyses by air pollution, and we assessed effect modification by gender, age, and socioeconomic characteristics for representative subgroups</w:t>
      </w:r>
      <w:r w:rsidR="00652332" w:rsidRPr="001F2AD8">
        <w:rPr>
          <w:bCs/>
          <w:lang w:val="en-GB"/>
        </w:rPr>
        <w:t>.</w:t>
      </w:r>
    </w:p>
    <w:p w14:paraId="5E460E9E" w14:textId="77777777" w:rsidR="000F5C30" w:rsidRPr="003C6A66" w:rsidRDefault="000F5C30" w:rsidP="00D35E91">
      <w:pPr>
        <w:spacing w:line="276" w:lineRule="auto"/>
        <w:jc w:val="both"/>
        <w:rPr>
          <w:bCs/>
          <w:lang w:val="en-GB"/>
        </w:rPr>
      </w:pPr>
    </w:p>
    <w:p w14:paraId="0051BCD6" w14:textId="2B81D314" w:rsidR="00E62150" w:rsidRPr="003C6A66" w:rsidRDefault="00236AE8" w:rsidP="00D35E91">
      <w:pPr>
        <w:spacing w:line="276" w:lineRule="auto"/>
        <w:jc w:val="both"/>
        <w:rPr>
          <w:b/>
          <w:lang w:val="en-GB"/>
        </w:rPr>
      </w:pPr>
      <w:r>
        <w:rPr>
          <w:b/>
          <w:lang w:val="en-GB"/>
        </w:rPr>
        <w:t xml:space="preserve">5. </w:t>
      </w:r>
      <w:r w:rsidR="003A3AA5" w:rsidRPr="003C6A66">
        <w:rPr>
          <w:b/>
          <w:lang w:val="en-GB"/>
        </w:rPr>
        <w:t>Conclusions</w:t>
      </w:r>
    </w:p>
    <w:p w14:paraId="0BC14760" w14:textId="4FE8FB12" w:rsidR="00A10793" w:rsidRPr="003C6A66" w:rsidRDefault="00067C45" w:rsidP="00D35E91">
      <w:pPr>
        <w:spacing w:line="276" w:lineRule="auto"/>
        <w:jc w:val="both"/>
        <w:rPr>
          <w:bCs/>
          <w:lang w:val="en-GB"/>
        </w:rPr>
      </w:pPr>
      <w:r>
        <w:rPr>
          <w:bCs/>
          <w:lang w:val="en-GB"/>
        </w:rPr>
        <w:t xml:space="preserve">In </w:t>
      </w:r>
      <w:r w:rsidR="00685371">
        <w:rPr>
          <w:bCs/>
          <w:lang w:val="en-GB"/>
        </w:rPr>
        <w:t>this</w:t>
      </w:r>
      <w:r>
        <w:rPr>
          <w:bCs/>
          <w:lang w:val="en-GB"/>
        </w:rPr>
        <w:t xml:space="preserve"> large</w:t>
      </w:r>
      <w:r w:rsidR="00E6254B">
        <w:rPr>
          <w:bCs/>
          <w:lang w:val="en-GB"/>
        </w:rPr>
        <w:t xml:space="preserve"> study </w:t>
      </w:r>
      <w:r w:rsidR="00685371">
        <w:rPr>
          <w:bCs/>
          <w:lang w:val="en-GB"/>
        </w:rPr>
        <w:t xml:space="preserve">including </w:t>
      </w:r>
      <w:r w:rsidR="00E6254B">
        <w:rPr>
          <w:bCs/>
          <w:lang w:val="en-GB"/>
        </w:rPr>
        <w:t>the whole Belgian</w:t>
      </w:r>
      <w:r w:rsidR="00685371">
        <w:rPr>
          <w:bCs/>
          <w:lang w:val="en-GB"/>
        </w:rPr>
        <w:t xml:space="preserve"> population</w:t>
      </w:r>
      <w:r w:rsidR="00400D7A">
        <w:rPr>
          <w:bCs/>
          <w:lang w:val="en-GB"/>
        </w:rPr>
        <w:t xml:space="preserve"> </w:t>
      </w:r>
      <w:r w:rsidR="00CE4DD1">
        <w:rPr>
          <w:bCs/>
          <w:lang w:val="en-GB"/>
        </w:rPr>
        <w:t>in 2001</w:t>
      </w:r>
      <w:r w:rsidR="00F42CCA">
        <w:rPr>
          <w:bCs/>
          <w:lang w:val="en-GB"/>
        </w:rPr>
        <w:t>, we observed that residing near greener areas was associated with reduced mortality</w:t>
      </w:r>
      <w:r w:rsidR="00DB3932">
        <w:rPr>
          <w:bCs/>
          <w:lang w:val="en-GB"/>
        </w:rPr>
        <w:t xml:space="preserve"> risk</w:t>
      </w:r>
      <w:r w:rsidR="00F42CCA">
        <w:rPr>
          <w:bCs/>
          <w:lang w:val="en-GB"/>
        </w:rPr>
        <w:t xml:space="preserve"> from lung cancer and </w:t>
      </w:r>
      <w:r w:rsidR="002E6DAC">
        <w:rPr>
          <w:bCs/>
          <w:lang w:val="en-GB"/>
        </w:rPr>
        <w:t>breast cancer, but not with colorectal cancer mortality.</w:t>
      </w:r>
      <w:r w:rsidR="00797291">
        <w:rPr>
          <w:bCs/>
          <w:lang w:val="en-GB"/>
        </w:rPr>
        <w:t xml:space="preserve"> A suggestive harmful effect of greenspace exposure on prostate cancer mortality was also found.</w:t>
      </w:r>
      <w:r w:rsidR="002E6DAC">
        <w:rPr>
          <w:bCs/>
          <w:lang w:val="en-GB"/>
        </w:rPr>
        <w:t xml:space="preserve"> </w:t>
      </w:r>
      <w:r w:rsidR="00306A1C">
        <w:rPr>
          <w:bCs/>
          <w:lang w:val="en-GB"/>
        </w:rPr>
        <w:t>Moreove</w:t>
      </w:r>
      <w:r w:rsidR="008D15BF">
        <w:rPr>
          <w:bCs/>
          <w:lang w:val="en-GB"/>
        </w:rPr>
        <w:t>r</w:t>
      </w:r>
      <w:r w:rsidR="00306A1C">
        <w:rPr>
          <w:bCs/>
          <w:lang w:val="en-GB"/>
        </w:rPr>
        <w:t>, t</w:t>
      </w:r>
      <w:r w:rsidR="00F92BF0">
        <w:rPr>
          <w:bCs/>
          <w:lang w:val="en-GB"/>
        </w:rPr>
        <w:t xml:space="preserve">he beneficial effect </w:t>
      </w:r>
      <w:r w:rsidR="003A7F42">
        <w:rPr>
          <w:bCs/>
          <w:lang w:val="en-GB"/>
        </w:rPr>
        <w:t xml:space="preserve">of exposure to green spaces </w:t>
      </w:r>
      <w:r w:rsidR="00F92BF0">
        <w:rPr>
          <w:bCs/>
          <w:lang w:val="en-GB"/>
        </w:rPr>
        <w:t xml:space="preserve">on lung </w:t>
      </w:r>
      <w:r w:rsidR="009413DA">
        <w:rPr>
          <w:bCs/>
          <w:lang w:val="en-GB"/>
        </w:rPr>
        <w:t xml:space="preserve">and breast </w:t>
      </w:r>
      <w:r w:rsidR="00F92BF0">
        <w:rPr>
          <w:bCs/>
          <w:lang w:val="en-GB"/>
        </w:rPr>
        <w:t xml:space="preserve">cancer mortality might be </w:t>
      </w:r>
      <w:r w:rsidR="009413DA">
        <w:rPr>
          <w:bCs/>
          <w:lang w:val="en-GB"/>
        </w:rPr>
        <w:t>independent from</w:t>
      </w:r>
      <w:r w:rsidR="00F92BF0">
        <w:rPr>
          <w:bCs/>
          <w:lang w:val="en-GB"/>
        </w:rPr>
        <w:t xml:space="preserve"> </w:t>
      </w:r>
      <w:r w:rsidR="00C42B39">
        <w:rPr>
          <w:bCs/>
          <w:lang w:val="en-GB"/>
        </w:rPr>
        <w:t xml:space="preserve">lower outdoor </w:t>
      </w:r>
      <w:r w:rsidR="00F92BF0">
        <w:rPr>
          <w:bCs/>
          <w:lang w:val="en-GB"/>
        </w:rPr>
        <w:t xml:space="preserve">air </w:t>
      </w:r>
      <w:r w:rsidR="001F3A84">
        <w:rPr>
          <w:bCs/>
          <w:lang w:val="en-GB"/>
        </w:rPr>
        <w:t>pollution</w:t>
      </w:r>
      <w:r w:rsidR="00C42B39">
        <w:rPr>
          <w:bCs/>
          <w:lang w:val="en-GB"/>
        </w:rPr>
        <w:t xml:space="preserve"> concentrations</w:t>
      </w:r>
      <w:r w:rsidR="003D00EA">
        <w:rPr>
          <w:bCs/>
          <w:lang w:val="en-GB"/>
        </w:rPr>
        <w:t>.</w:t>
      </w:r>
      <w:r w:rsidR="00306A1C">
        <w:rPr>
          <w:bCs/>
          <w:lang w:val="en-GB"/>
        </w:rPr>
        <w:t xml:space="preserve"> Finally</w:t>
      </w:r>
      <w:r w:rsidR="003D00EA">
        <w:rPr>
          <w:bCs/>
          <w:lang w:val="en-GB"/>
        </w:rPr>
        <w:t xml:space="preserve">, associations might be stronger among </w:t>
      </w:r>
      <w:r w:rsidR="00722A01">
        <w:rPr>
          <w:bCs/>
          <w:lang w:val="en-GB"/>
        </w:rPr>
        <w:t>younger individuals.</w:t>
      </w:r>
      <w:r w:rsidR="006D5E10">
        <w:rPr>
          <w:bCs/>
          <w:lang w:val="en-GB"/>
        </w:rPr>
        <w:t xml:space="preserve"> Cancer is </w:t>
      </w:r>
      <w:r w:rsidR="00CE4DD1">
        <w:rPr>
          <w:bCs/>
          <w:lang w:val="en-GB"/>
        </w:rPr>
        <w:t>a</w:t>
      </w:r>
      <w:r w:rsidR="00B5057F">
        <w:rPr>
          <w:bCs/>
          <w:lang w:val="en-GB"/>
        </w:rPr>
        <w:t xml:space="preserve"> public health problem of utmost importance</w:t>
      </w:r>
      <w:r w:rsidR="00484942">
        <w:rPr>
          <w:bCs/>
          <w:lang w:val="en-GB"/>
        </w:rPr>
        <w:t xml:space="preserve">, being the second leading cause of death worldwide </w:t>
      </w:r>
      <w:r w:rsidR="00484942" w:rsidRPr="003C6A66">
        <w:rPr>
          <w:bCs/>
          <w:lang w:val="en-GB"/>
        </w:rPr>
        <w:fldChar w:fldCharType="begin" w:fldLock="1"/>
      </w:r>
      <w:r w:rsidR="00525CEF">
        <w:rPr>
          <w:bCs/>
          <w:lang w:val="en-GB"/>
        </w:rPr>
        <w:instrText>ADDIN CSL_CITATION {"citationItems":[{"id":"ITEM-1","itemData":{"DOI":"https://doi.org/10.1002/ijc.33588","ISSN":"0020-7136","abstract":"Abstract Our study briefly reviews the data sources and methods used in compiling the International Agency for Research on Cancer (IARC) GLOBOCAN cancer statistics for the year 2020 and summarises the main results. National estimates were calculated based on the best available data on cancer incidence from population-based cancer registries (PBCR) and mortality from the World Health Organization mortality database. Cancer incidence and mortality rates for 2020 by sex and age groups were estimated for 38 cancer sites and 185 countries or territories worldwide. There were an estimated 19.3 million (95% uncertainty interval [UI]: 19.0-19.6 million) new cases of cancer (18.1 million excluding non-melanoma skin cancer) and almost 10.0 million (95% UI: 9.7-10.2 million) deaths from cancer (9.9 million excluding non-melanoma skin cancer) worldwide in 2020. The most commonly diagnosed cancers worldwide were female breast cancer (2.26 million cases), lung (2.21) and prostate cancers (1.41); the most common causes of cancer death were lung (1.79 million deaths), liver (830000) and stomach cancers (769000).","author":[{"dropping-particle":"","family":"Ferlay","given":"Jacques","non-dropping-particle":"","parse-names":false,"suffix":""},{"dropping-particle":"","family":"Colombet","given":"Murielle","non-dropping-particle":"","parse-names":false,"suffix":""},{"dropping-particle":"","family":"Soerjomataram","given":"Isabelle","non-dropping-particle":"","parse-names":false,"suffix":""},{"dropping-particle":"","family":"Parkin","given":"Donald M","non-dropping-particle":"","parse-names":false,"suffix":""},{"dropping-particle":"","family":"Piñeros","given":"Marion","non-dropping-particle":"","parse-names":false,"suffix":""},{"dropping-particle":"","family":"Znaor","given":"Ariana","non-dropping-particle":"","parse-names":false,"suffix":""},{"dropping-particle":"","family":"Bray","given":"Freddie","non-dropping-particle":"","parse-names":false,"suffix":""}],"container-title":"International Journal of Cancer","id":"ITEM-1","issue":"4","issued":{"date-parts":[["2021","8","15"]]},"note":"https://doi.org/10.1002/ijc.33588","page":"778-789","publisher":"John Wiley &amp; Sons, Ltd","title":"Cancer statistics for the year 2020: An overview","type":"article-journal","volume":"149"},"uris":["http://www.mendeley.com/documents/?uuid=96c53ee1-5470-4258-bd8b-7bf3f541b7da"]}],"mendeley":{"formattedCitation":"(Ferlay et al., 2021)","plainTextFormattedCitation":"(Ferlay et al., 2021)","previouslyFormattedCitation":"(Ferlay et al., 2021)"},"properties":{"noteIndex":0},"schema":"https://github.com/citation-style-language/schema/raw/master/csl-citation.json"}</w:instrText>
      </w:r>
      <w:r w:rsidR="00484942" w:rsidRPr="003C6A66">
        <w:rPr>
          <w:bCs/>
          <w:lang w:val="en-GB"/>
        </w:rPr>
        <w:fldChar w:fldCharType="separate"/>
      </w:r>
      <w:r w:rsidR="00484942" w:rsidRPr="00D10DDE">
        <w:rPr>
          <w:bCs/>
          <w:noProof/>
          <w:lang w:val="en-GB"/>
        </w:rPr>
        <w:t>(Ferlay et al., 2021)</w:t>
      </w:r>
      <w:r w:rsidR="00484942" w:rsidRPr="003C6A66">
        <w:rPr>
          <w:bCs/>
          <w:lang w:val="en-GB"/>
        </w:rPr>
        <w:fldChar w:fldCharType="end"/>
      </w:r>
      <w:r w:rsidR="00B5057F">
        <w:rPr>
          <w:bCs/>
          <w:lang w:val="en-GB"/>
        </w:rPr>
        <w:t>.</w:t>
      </w:r>
      <w:r w:rsidR="00484942">
        <w:rPr>
          <w:bCs/>
          <w:lang w:val="en-GB"/>
        </w:rPr>
        <w:t xml:space="preserve"> </w:t>
      </w:r>
      <w:r w:rsidR="006C370D">
        <w:rPr>
          <w:bCs/>
          <w:lang w:val="en-GB"/>
        </w:rPr>
        <w:t>Expanding strategies for prevention,</w:t>
      </w:r>
      <w:r w:rsidR="00314D19">
        <w:rPr>
          <w:bCs/>
          <w:lang w:val="en-GB"/>
        </w:rPr>
        <w:t xml:space="preserve"> </w:t>
      </w:r>
      <w:r w:rsidR="005C0645">
        <w:rPr>
          <w:bCs/>
          <w:lang w:val="en-GB"/>
        </w:rPr>
        <w:t xml:space="preserve">and </w:t>
      </w:r>
      <w:r w:rsidR="00314D19">
        <w:rPr>
          <w:bCs/>
          <w:lang w:val="en-GB"/>
        </w:rPr>
        <w:t xml:space="preserve">specially </w:t>
      </w:r>
      <w:r w:rsidR="005C0645">
        <w:rPr>
          <w:bCs/>
          <w:lang w:val="en-GB"/>
        </w:rPr>
        <w:t xml:space="preserve">focusing on </w:t>
      </w:r>
      <w:r w:rsidR="00914834">
        <w:rPr>
          <w:bCs/>
          <w:lang w:val="en-GB"/>
        </w:rPr>
        <w:t>implementing those</w:t>
      </w:r>
      <w:r w:rsidR="00314D19">
        <w:rPr>
          <w:bCs/>
          <w:lang w:val="en-GB"/>
        </w:rPr>
        <w:t xml:space="preserve"> that may affect </w:t>
      </w:r>
      <w:r w:rsidR="005C0645">
        <w:rPr>
          <w:bCs/>
          <w:lang w:val="en-GB"/>
        </w:rPr>
        <w:t>the</w:t>
      </w:r>
      <w:r w:rsidR="00314D19">
        <w:rPr>
          <w:bCs/>
          <w:lang w:val="en-GB"/>
        </w:rPr>
        <w:t xml:space="preserve"> greatest number of individuals,</w:t>
      </w:r>
      <w:r w:rsidR="006C370D">
        <w:rPr>
          <w:bCs/>
          <w:lang w:val="en-GB"/>
        </w:rPr>
        <w:t xml:space="preserve"> </w:t>
      </w:r>
      <w:r w:rsidR="00716AC7">
        <w:rPr>
          <w:bCs/>
          <w:lang w:val="en-GB"/>
        </w:rPr>
        <w:t>is key to reduce the burden of the disease.</w:t>
      </w:r>
      <w:r w:rsidR="001C06E7">
        <w:rPr>
          <w:bCs/>
          <w:lang w:val="en-GB"/>
        </w:rPr>
        <w:t xml:space="preserve"> Our study lays the path to address the residential built environment </w:t>
      </w:r>
      <w:r w:rsidR="00281793">
        <w:rPr>
          <w:bCs/>
          <w:lang w:val="en-GB"/>
        </w:rPr>
        <w:t>and access to natural environment</w:t>
      </w:r>
      <w:r w:rsidR="00D4146A">
        <w:rPr>
          <w:bCs/>
          <w:lang w:val="en-GB"/>
        </w:rPr>
        <w:t>s</w:t>
      </w:r>
      <w:r w:rsidR="00281793">
        <w:rPr>
          <w:bCs/>
          <w:lang w:val="en-GB"/>
        </w:rPr>
        <w:t xml:space="preserve"> </w:t>
      </w:r>
      <w:r w:rsidR="001C06E7">
        <w:rPr>
          <w:bCs/>
          <w:lang w:val="en-GB"/>
        </w:rPr>
        <w:t xml:space="preserve">as an important </w:t>
      </w:r>
      <w:r w:rsidR="00281793">
        <w:rPr>
          <w:bCs/>
          <w:lang w:val="en-GB"/>
        </w:rPr>
        <w:t>measure to decrease mortality</w:t>
      </w:r>
      <w:r w:rsidR="00451444">
        <w:rPr>
          <w:bCs/>
          <w:lang w:val="en-GB"/>
        </w:rPr>
        <w:t xml:space="preserve"> risk</w:t>
      </w:r>
      <w:r w:rsidR="00281793">
        <w:rPr>
          <w:bCs/>
          <w:lang w:val="en-GB"/>
        </w:rPr>
        <w:t xml:space="preserve"> from lung and breast cancer</w:t>
      </w:r>
      <w:r w:rsidR="001C06E7">
        <w:rPr>
          <w:bCs/>
          <w:lang w:val="en-GB"/>
        </w:rPr>
        <w:t>.</w:t>
      </w:r>
    </w:p>
    <w:p w14:paraId="2454BAAF" w14:textId="77777777" w:rsidR="00822A72" w:rsidRPr="003C6A66" w:rsidRDefault="00822A72" w:rsidP="00D35E91">
      <w:pPr>
        <w:spacing w:line="276" w:lineRule="auto"/>
        <w:jc w:val="both"/>
        <w:rPr>
          <w:bCs/>
          <w:lang w:val="en-GB"/>
        </w:rPr>
      </w:pPr>
    </w:p>
    <w:p w14:paraId="23E31407" w14:textId="049370BD" w:rsidR="00A46795" w:rsidRPr="00A46795" w:rsidRDefault="00A46795" w:rsidP="00D35E91">
      <w:pPr>
        <w:spacing w:line="276" w:lineRule="auto"/>
        <w:jc w:val="both"/>
        <w:rPr>
          <w:b/>
          <w:lang w:val="en-GB"/>
        </w:rPr>
      </w:pPr>
      <w:r w:rsidRPr="00A46795">
        <w:rPr>
          <w:b/>
          <w:lang w:val="en-GB"/>
        </w:rPr>
        <w:t>Funding</w:t>
      </w:r>
    </w:p>
    <w:p w14:paraId="3DDC48F7" w14:textId="4DA24446" w:rsidR="00A46795" w:rsidRPr="00F31D36" w:rsidRDefault="00071E05" w:rsidP="00F31D36">
      <w:pPr>
        <w:spacing w:line="276" w:lineRule="auto"/>
        <w:jc w:val="both"/>
        <w:rPr>
          <w:bCs/>
          <w:lang w:val="en-GB"/>
        </w:rPr>
      </w:pPr>
      <w:r>
        <w:rPr>
          <w:bCs/>
          <w:lang w:val="en-GB"/>
        </w:rPr>
        <w:t>This work has been funded</w:t>
      </w:r>
      <w:r w:rsidR="00102024" w:rsidRPr="00F31D36">
        <w:rPr>
          <w:bCs/>
          <w:lang w:val="en-GB"/>
        </w:rPr>
        <w:t xml:space="preserve"> </w:t>
      </w:r>
      <w:r w:rsidR="000E04C9" w:rsidRPr="00F31D36">
        <w:rPr>
          <w:bCs/>
          <w:lang w:val="en-GB"/>
        </w:rPr>
        <w:t>by the Brussels Institute for Research and Innovation (INNOVIRIS) [project number: 2019-ANTICIPATE-26100]</w:t>
      </w:r>
      <w:r w:rsidR="00102024">
        <w:rPr>
          <w:bCs/>
          <w:lang w:val="en-GB"/>
        </w:rPr>
        <w:t>.</w:t>
      </w:r>
    </w:p>
    <w:p w14:paraId="10B4F560" w14:textId="77777777" w:rsidR="00A46795" w:rsidRPr="00F31D36" w:rsidRDefault="00A46795" w:rsidP="00D35E91">
      <w:pPr>
        <w:spacing w:line="276" w:lineRule="auto"/>
        <w:jc w:val="both"/>
        <w:rPr>
          <w:bCs/>
          <w:lang w:val="en-GB"/>
        </w:rPr>
      </w:pPr>
    </w:p>
    <w:p w14:paraId="1D9FB4B4" w14:textId="59842715" w:rsidR="00822A72" w:rsidRPr="003C6A66" w:rsidRDefault="00822A72" w:rsidP="00D35E91">
      <w:pPr>
        <w:spacing w:line="276" w:lineRule="auto"/>
        <w:jc w:val="both"/>
        <w:rPr>
          <w:b/>
          <w:lang w:val="en-GB"/>
        </w:rPr>
      </w:pPr>
      <w:r w:rsidRPr="003C6A66">
        <w:rPr>
          <w:b/>
          <w:lang w:val="en-GB"/>
        </w:rPr>
        <w:t xml:space="preserve">Acknowledgements </w:t>
      </w:r>
    </w:p>
    <w:p w14:paraId="308A502C" w14:textId="45254453" w:rsidR="00375C3F" w:rsidRPr="001F2AD8" w:rsidRDefault="00F31D36" w:rsidP="00801558">
      <w:pPr>
        <w:spacing w:line="276" w:lineRule="auto"/>
        <w:jc w:val="both"/>
        <w:rPr>
          <w:bCs/>
          <w:lang w:val="en-GB"/>
        </w:rPr>
      </w:pPr>
      <w:r>
        <w:rPr>
          <w:bCs/>
          <w:lang w:val="en-GB"/>
        </w:rPr>
        <w:t xml:space="preserve">The authors would like to acknowledge the role of </w:t>
      </w:r>
      <w:proofErr w:type="spellStart"/>
      <w:r>
        <w:rPr>
          <w:bCs/>
          <w:lang w:val="en-GB"/>
        </w:rPr>
        <w:t>Statbel</w:t>
      </w:r>
      <w:proofErr w:type="spellEnd"/>
      <w:r>
        <w:rPr>
          <w:bCs/>
          <w:lang w:val="en-GB"/>
        </w:rPr>
        <w:t xml:space="preserve"> </w:t>
      </w:r>
      <w:r w:rsidR="0064022E">
        <w:rPr>
          <w:bCs/>
          <w:lang w:val="en-GB"/>
        </w:rPr>
        <w:t>in this study (Directorate-general Statistics-Statistics Belgium) for geocoding the census data and facilitating data linkages.</w:t>
      </w:r>
      <w:r w:rsidR="004A574B">
        <w:rPr>
          <w:bCs/>
          <w:lang w:val="en-GB"/>
        </w:rPr>
        <w:t xml:space="preserve"> We would furthermore want to thank Mariska </w:t>
      </w:r>
      <w:proofErr w:type="spellStart"/>
      <w:r w:rsidR="004A574B">
        <w:rPr>
          <w:bCs/>
          <w:lang w:val="en-GB"/>
        </w:rPr>
        <w:t>Bauwelinck</w:t>
      </w:r>
      <w:proofErr w:type="spellEnd"/>
      <w:r w:rsidR="004A574B">
        <w:rPr>
          <w:bCs/>
          <w:lang w:val="en-GB"/>
        </w:rPr>
        <w:t>, from Interface Demography (VUB)</w:t>
      </w:r>
      <w:r w:rsidR="00A654FF">
        <w:rPr>
          <w:bCs/>
          <w:lang w:val="en-GB"/>
        </w:rPr>
        <w:t xml:space="preserve">, for her outstanding contribution in </w:t>
      </w:r>
      <w:r w:rsidR="0099499B">
        <w:rPr>
          <w:bCs/>
          <w:lang w:val="en-GB"/>
        </w:rPr>
        <w:t xml:space="preserve">conducting the </w:t>
      </w:r>
      <w:r w:rsidR="00302A60">
        <w:rPr>
          <w:bCs/>
          <w:lang w:val="en-GB"/>
        </w:rPr>
        <w:t xml:space="preserve">exposure assessment </w:t>
      </w:r>
      <w:r w:rsidR="0099499B">
        <w:rPr>
          <w:bCs/>
          <w:lang w:val="en-GB"/>
        </w:rPr>
        <w:t xml:space="preserve">of environmental indicators </w:t>
      </w:r>
      <w:r w:rsidR="00302A60">
        <w:rPr>
          <w:bCs/>
          <w:lang w:val="en-GB"/>
        </w:rPr>
        <w:t xml:space="preserve">and </w:t>
      </w:r>
      <w:r w:rsidR="0099499B">
        <w:rPr>
          <w:bCs/>
          <w:lang w:val="en-GB"/>
        </w:rPr>
        <w:t xml:space="preserve">for her </w:t>
      </w:r>
      <w:r w:rsidR="00302A60">
        <w:rPr>
          <w:bCs/>
          <w:lang w:val="en-GB"/>
        </w:rPr>
        <w:t xml:space="preserve">help throughout the </w:t>
      </w:r>
      <w:r w:rsidR="0099499B">
        <w:rPr>
          <w:bCs/>
          <w:lang w:val="en-GB"/>
        </w:rPr>
        <w:t xml:space="preserve">analysis </w:t>
      </w:r>
      <w:r w:rsidR="00302A60">
        <w:rPr>
          <w:bCs/>
          <w:lang w:val="en-GB"/>
        </w:rPr>
        <w:t>process</w:t>
      </w:r>
      <w:r w:rsidR="00A654FF">
        <w:rPr>
          <w:bCs/>
          <w:lang w:val="en-GB"/>
        </w:rPr>
        <w:t>.</w:t>
      </w:r>
      <w:r w:rsidR="0064022E">
        <w:rPr>
          <w:bCs/>
          <w:lang w:val="en-GB"/>
        </w:rPr>
        <w:t xml:space="preserve"> The resources and services used in this work were provided by the VSC (Flemish Supercomputer Centre), funded by the Research Foundation – Flanders (FWO) and the Flemish Government.</w:t>
      </w:r>
      <w:r w:rsidR="00AA0091" w:rsidRPr="00AA0091">
        <w:t xml:space="preserve"> </w:t>
      </w:r>
    </w:p>
    <w:p w14:paraId="0CFC06A6" w14:textId="77777777" w:rsidR="0016554F" w:rsidRPr="00671299" w:rsidRDefault="0016554F" w:rsidP="00801558">
      <w:pPr>
        <w:spacing w:line="276" w:lineRule="auto"/>
        <w:jc w:val="both"/>
        <w:rPr>
          <w:bCs/>
          <w:lang w:val="en-GB"/>
        </w:rPr>
      </w:pPr>
    </w:p>
    <w:p w14:paraId="4D72DFBD" w14:textId="77777777" w:rsidR="00F10761" w:rsidRPr="00EC5AA4" w:rsidRDefault="00F10761" w:rsidP="00801558">
      <w:pPr>
        <w:spacing w:line="276" w:lineRule="auto"/>
        <w:jc w:val="both"/>
        <w:rPr>
          <w:bCs/>
          <w:lang w:val="en-US"/>
        </w:rPr>
        <w:sectPr w:rsidR="00F10761" w:rsidRPr="00EC5AA4" w:rsidSect="00FB4A74">
          <w:pgSz w:w="11906" w:h="16838"/>
          <w:pgMar w:top="1440" w:right="1440" w:bottom="1440" w:left="1440" w:header="709" w:footer="709" w:gutter="0"/>
          <w:lnNumType w:countBy="1" w:restart="continuous"/>
          <w:cols w:space="708"/>
          <w:docGrid w:linePitch="360"/>
        </w:sectPr>
      </w:pPr>
    </w:p>
    <w:p w14:paraId="13DE79C5" w14:textId="20088094" w:rsidR="00F10761" w:rsidRDefault="00F10761" w:rsidP="00801558">
      <w:pPr>
        <w:spacing w:line="276" w:lineRule="auto"/>
        <w:jc w:val="both"/>
        <w:rPr>
          <w:b/>
          <w:lang w:val="en-US"/>
        </w:rPr>
      </w:pPr>
      <w:r>
        <w:rPr>
          <w:b/>
          <w:lang w:val="en-US"/>
        </w:rPr>
        <w:lastRenderedPageBreak/>
        <w:t>References</w:t>
      </w:r>
    </w:p>
    <w:p w14:paraId="02AB20DA" w14:textId="0C779C8B" w:rsidR="00554021" w:rsidRPr="00554021" w:rsidRDefault="00F10761" w:rsidP="00554021">
      <w:pPr>
        <w:widowControl w:val="0"/>
        <w:autoSpaceDE w:val="0"/>
        <w:autoSpaceDN w:val="0"/>
        <w:adjustRightInd w:val="0"/>
        <w:ind w:left="480" w:hanging="480"/>
        <w:rPr>
          <w:rFonts w:ascii="Calibri" w:hAnsi="Calibri" w:cs="Calibri"/>
          <w:noProof/>
          <w:lang w:val="en-GB"/>
        </w:rPr>
      </w:pPr>
      <w:r>
        <w:rPr>
          <w:b/>
          <w:lang w:val="en-US"/>
        </w:rPr>
        <w:fldChar w:fldCharType="begin" w:fldLock="1"/>
      </w:r>
      <w:r>
        <w:rPr>
          <w:b/>
          <w:lang w:val="en-US"/>
        </w:rPr>
        <w:instrText xml:space="preserve">ADDIN Mendeley Bibliography CSL_BIBLIOGRAPHY </w:instrText>
      </w:r>
      <w:r>
        <w:rPr>
          <w:b/>
          <w:lang w:val="en-US"/>
        </w:rPr>
        <w:fldChar w:fldCharType="separate"/>
      </w:r>
      <w:r w:rsidR="00554021" w:rsidRPr="00554021">
        <w:rPr>
          <w:rFonts w:ascii="Calibri" w:hAnsi="Calibri" w:cs="Calibri"/>
          <w:noProof/>
          <w:lang w:val="en-GB"/>
        </w:rPr>
        <w:t>Austin, P.C., 2017. A Tutorial on Multilevel Survival Analysis : Methods, Models and Applications. Int. Stat. Rev. 0, 1–19. https://doi.org/10.1111/insr.12214</w:t>
      </w:r>
    </w:p>
    <w:p w14:paraId="7A180FCA" w14:textId="0B6D5AB6"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Bauwelinck, M., Casas, L., Nawrot, T.S., Nemery, B., Trabelsi, S., Thomas, I., Aerts, R., Lefebvre, W., Vanpoucke, C., Van Nieuwenhuyse, A., Deboosere, P., Vandenheede, H., 2021. Residing in urban areas with higher green space is associated with lower mortality risk: A census-based cohort study with ten years of follow-up. Environ. Int. 148, 106365. https://doi.org/10.1016/j.envint.2020.106365</w:t>
      </w:r>
    </w:p>
    <w:p w14:paraId="0822B09D"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Belgian Cancer Registry, 2020. Cancer Burden in Belgium 2004-2016. Brussels, Belgium.</w:t>
      </w:r>
    </w:p>
    <w:p w14:paraId="35DE18FB"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Bixby, H., Hodgson, S., Fortunato, L., Hansell, A., Fecht, D., 2015. Associations between Green Space and Health in English Cities : An Ecological , Cross- Sectional Study. PLoS One 10, e0119495. https://doi.org/10.1371/journal.pone.0119495</w:t>
      </w:r>
    </w:p>
    <w:p w14:paraId="24711387" w14:textId="6A23E0FB"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Brenner, D.R., Yannitsos, D.H., Farris, M.S., Johansson, M., Friedenreich, C.M., 2016. Leisure-time physical activity and lung cancer risk: A systematic review and meta-analysis. Lung Cancer 95, 17–27. https://doi.org/10.1016/j.lungcan.2016.01.021</w:t>
      </w:r>
    </w:p>
    <w:p w14:paraId="2106DA51" w14:textId="2A73C967" w:rsidR="00554021" w:rsidRPr="00AA009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 xml:space="preserve">Coleman, C.J., Yeager, R.A., Riggs, D.W., Coleman, N.C., Garcia, G.R., Bhatnagar, A., Pope, C.A., 2021. Greenness, air pollution, and mortality risk: A U.S. cohort study of cancer patients and survivors. </w:t>
      </w:r>
      <w:r w:rsidRPr="00AA0091">
        <w:rPr>
          <w:rFonts w:ascii="Calibri" w:hAnsi="Calibri" w:cs="Calibri"/>
          <w:noProof/>
          <w:lang w:val="en-GB"/>
        </w:rPr>
        <w:t>Environ. Int. 157, 106797.</w:t>
      </w:r>
      <w:r w:rsidR="0030378F" w:rsidRPr="00AA0091">
        <w:rPr>
          <w:rFonts w:ascii="Calibri" w:hAnsi="Calibri" w:cs="Calibri"/>
          <w:noProof/>
          <w:lang w:val="en-GB"/>
        </w:rPr>
        <w:t xml:space="preserve"> </w:t>
      </w:r>
      <w:r w:rsidRPr="00AA0091">
        <w:rPr>
          <w:rFonts w:ascii="Calibri" w:hAnsi="Calibri" w:cs="Calibri"/>
          <w:noProof/>
          <w:lang w:val="en-GB"/>
        </w:rPr>
        <w:t>https://doi.org/10.1016/j.envint.2021.106797</w:t>
      </w:r>
    </w:p>
    <w:p w14:paraId="1EF218B7"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AA0091">
        <w:rPr>
          <w:rFonts w:ascii="Calibri" w:hAnsi="Calibri" w:cs="Calibri"/>
          <w:noProof/>
          <w:lang w:val="en-GB"/>
        </w:rPr>
        <w:t xml:space="preserve">Crouse, D.L., Pinault, L., Balram, A., Hystad, P., Peters, P.A., Chen, H., Donkelaar, A. Van, Martin, R. V, Ménard, R., Robichaud, A., Villeneuve, P.J., 2017. </w:t>
      </w:r>
      <w:r w:rsidRPr="00554021">
        <w:rPr>
          <w:rFonts w:ascii="Calibri" w:hAnsi="Calibri" w:cs="Calibri"/>
          <w:noProof/>
          <w:lang w:val="en-GB"/>
        </w:rPr>
        <w:t>Urban greenness and mortality in Canada ’ s largest cities : a national cohort study. Lancet Planet. Heal. 1, e289-97. https://doi.org/10.1016/S2542-5196(17)30118-3</w:t>
      </w:r>
    </w:p>
    <w:p w14:paraId="48AADC4D"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Datzmann, T., Markevych, I., Trautmann, F., Heinrich, J., Schmitt, J., Tesch, F., 2018. Outdoor air pollution, green space, and cancer incidence in Saxony: a semi-individual cohort study. BMC Public Health 18, 715. https://doi.org/10.1186/s12889-018-5615-2</w:t>
      </w:r>
    </w:p>
    <w:p w14:paraId="5DD25C2C" w14:textId="77777777" w:rsidR="00554021" w:rsidRPr="0030378F" w:rsidRDefault="00554021" w:rsidP="00554021">
      <w:pPr>
        <w:widowControl w:val="0"/>
        <w:autoSpaceDE w:val="0"/>
        <w:autoSpaceDN w:val="0"/>
        <w:adjustRightInd w:val="0"/>
        <w:ind w:left="480" w:hanging="480"/>
        <w:rPr>
          <w:rFonts w:ascii="Calibri" w:hAnsi="Calibri" w:cs="Calibri"/>
          <w:noProof/>
          <w:lang w:val="fr-FR"/>
        </w:rPr>
      </w:pPr>
      <w:r w:rsidRPr="00554021">
        <w:rPr>
          <w:rFonts w:ascii="Calibri" w:hAnsi="Calibri" w:cs="Calibri"/>
          <w:noProof/>
          <w:lang w:val="en-GB"/>
        </w:rPr>
        <w:t xml:space="preserve">Demoury, C., Thierry, B., Richard, H., Sigler, B., Kestens, Y., Parent, M., 2017. Residential greenness and risk of prostate cancer : A case-control study in Montreal, Canada. </w:t>
      </w:r>
      <w:r w:rsidRPr="0030378F">
        <w:rPr>
          <w:rFonts w:ascii="Calibri" w:hAnsi="Calibri" w:cs="Calibri"/>
          <w:noProof/>
          <w:lang w:val="fr-FR"/>
        </w:rPr>
        <w:t>Environ. Int. 98, 129–136. https://doi.org/10.1016/j.envint.2016.10.024</w:t>
      </w:r>
    </w:p>
    <w:p w14:paraId="6A26FAE5"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30378F">
        <w:rPr>
          <w:rFonts w:ascii="Calibri" w:hAnsi="Calibri" w:cs="Calibri"/>
          <w:noProof/>
          <w:lang w:val="fr-FR"/>
        </w:rPr>
        <w:t xml:space="preserve">Drewes, J.L., Housseau, F., Sears, C.L., 2016. </w:t>
      </w:r>
      <w:r w:rsidRPr="00554021">
        <w:rPr>
          <w:rFonts w:ascii="Calibri" w:hAnsi="Calibri" w:cs="Calibri"/>
          <w:noProof/>
          <w:lang w:val="en-GB"/>
        </w:rPr>
        <w:t>Sporadic colorectal cancer: microbial contributors to disease prevention, development and therapy. Br. J. Cancer 115, 273–280. https://doi.org/10.1038/bjc.2016.189</w:t>
      </w:r>
    </w:p>
    <w:p w14:paraId="74740725" w14:textId="05FD35E2"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 xml:space="preserve">European Cancer Information System (ECIS), 2020. Estimates of cancer incidence and mortality in 2020, for all countries </w:t>
      </w:r>
      <w:r w:rsidR="0030378F">
        <w:rPr>
          <w:rFonts w:ascii="Calibri" w:hAnsi="Calibri" w:cs="Calibri"/>
          <w:noProof/>
          <w:lang w:val="en-GB"/>
        </w:rPr>
        <w:t>[Online</w:t>
      </w:r>
      <w:r w:rsidRPr="00554021">
        <w:rPr>
          <w:rFonts w:ascii="Calibri" w:hAnsi="Calibri" w:cs="Calibri"/>
          <w:noProof/>
          <w:lang w:val="en-GB"/>
        </w:rPr>
        <w:t xml:space="preserve">]. </w:t>
      </w:r>
      <w:r w:rsidR="0030378F" w:rsidRPr="0030378F">
        <w:rPr>
          <w:rFonts w:ascii="Calibri" w:hAnsi="Calibri" w:cs="Calibri"/>
          <w:noProof/>
          <w:lang w:val="en-GB"/>
        </w:rPr>
        <w:t>https://ecis.jrc.ec.europa.eu/index.php</w:t>
      </w:r>
      <w:r w:rsidR="0030378F">
        <w:rPr>
          <w:rFonts w:ascii="Calibri" w:hAnsi="Calibri" w:cs="Calibri"/>
          <w:noProof/>
          <w:lang w:val="en-GB"/>
        </w:rPr>
        <w:t xml:space="preserve"> </w:t>
      </w:r>
      <w:r w:rsidRPr="00554021">
        <w:rPr>
          <w:rFonts w:ascii="Calibri" w:hAnsi="Calibri" w:cs="Calibri"/>
          <w:noProof/>
          <w:lang w:val="en-GB"/>
        </w:rPr>
        <w:t>(</w:t>
      </w:r>
      <w:r w:rsidR="0030378F">
        <w:rPr>
          <w:rFonts w:ascii="Calibri" w:hAnsi="Calibri" w:cs="Calibri"/>
          <w:noProof/>
          <w:lang w:val="en-GB"/>
        </w:rPr>
        <w:t>A</w:t>
      </w:r>
      <w:r w:rsidRPr="00554021">
        <w:rPr>
          <w:rFonts w:ascii="Calibri" w:hAnsi="Calibri" w:cs="Calibri"/>
          <w:noProof/>
          <w:lang w:val="en-GB"/>
        </w:rPr>
        <w:t>ccessed 11.30.21).</w:t>
      </w:r>
    </w:p>
    <w:p w14:paraId="2242FC1F"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European Environmental Agency, 2011. Mapping Guide for a European Urban Atlas. Brussels, Belgium.</w:t>
      </w:r>
    </w:p>
    <w:p w14:paraId="7ECEF777" w14:textId="1DB7BD4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Ferlay, J., Colombet, M., Soerjomataram, I., Parkin, D.M., Piñeros, M., Znaor, A., Bray, F., 2021. Cancer statistics for the year 2020: An overview. Int. J. Cancer 149, 778–789. https://doi.org/10.1002/ijc.33588</w:t>
      </w:r>
    </w:p>
    <w:p w14:paraId="64F89800"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Galobardes, B., Shaw, M., Lawlor, D.A., Lynch, J.W., Smith, G.D., 2006. Indicators of socioeconomic position (part 1). J Epidemiol Community Heal. 60, 7–12. https://doi.org/10.1136/jech.2004.023531</w:t>
      </w:r>
    </w:p>
    <w:p w14:paraId="2FEC16EF"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Gascon, M., Triguero-Mas, M., Martínez, D., Dadvand, P., 2015. Mental Health Benefits of Long-Term Exposure to Residential Green and Blue Spaces : A Systematic Review. Int. J. Environ. Res. Public Health 12, 4354–4379. https://doi.org/10.3390/ijerph120404354</w:t>
      </w:r>
    </w:p>
    <w:p w14:paraId="0F38ADFD"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 xml:space="preserve">Gascon, M., Triguero-Mas, M., Martínez, D., Dadvand, P., Rojas-Rueda, D., Plasència, A., </w:t>
      </w:r>
      <w:r w:rsidRPr="00554021">
        <w:rPr>
          <w:rFonts w:ascii="Calibri" w:hAnsi="Calibri" w:cs="Calibri"/>
          <w:noProof/>
          <w:lang w:val="en-GB"/>
        </w:rPr>
        <w:lastRenderedPageBreak/>
        <w:t>Nieuwenhuijsen, M.J., 2016. Residential green spaces and mortality : A systematic review. Environ. Int. 86, 60–67. https://doi.org/10.1016/j.envint.2015.10.013</w:t>
      </w:r>
    </w:p>
    <w:p w14:paraId="0C776A40" w14:textId="1D793950"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Gomez, S.L., Shariff-Marco, S., DeRouen, M., Keegan, T.H.M., Yen, I.H., Mujahid, M., Satariano, W.A., Glaser, S.L., 2015. The impact of neighborhood social and built environment factors across the cancer continuum: Current research, methodological considerations, and future directions. Cancer 121, 2314–2330. https://doi.org/10.1002/cncr.29345</w:t>
      </w:r>
    </w:p>
    <w:p w14:paraId="5C33DA96" w14:textId="1BDDEDA6"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Hagedoorn, P., Vandenheede, H., Vanthomme, K., Gadeyne, S., 2018. Socioeconomic position, population density and site-specific cancer mortality: A multilevel analysis of Belgian adults, 2001–2011. Int. J. Cancer 142, 23–35. https://doi.org/10.1002/ijc.31031</w:t>
      </w:r>
    </w:p>
    <w:p w14:paraId="4C559551"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Hooyberghs, J., Mensink, C., Dumont, G., Fierens, F., 2006. Spatial interpolation of ambient ozone concentrations from sparse monitoring points in Belgium. J. Environ. Monit. 8, 1129—1135. https://doi.org/10.1039/b612607n</w:t>
      </w:r>
    </w:p>
    <w:p w14:paraId="0A4E22B0" w14:textId="1A9F4A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 xml:space="preserve">International Agency for Research on Cancer (IARC), 2013. Outdoor Air Pollution. IARC Monographs on the Evaluation of Carcinogenic Risks to Humans; volume 109. </w:t>
      </w:r>
      <w:r w:rsidR="0030378F">
        <w:rPr>
          <w:rFonts w:ascii="Calibri" w:hAnsi="Calibri" w:cs="Calibri"/>
          <w:noProof/>
          <w:lang w:val="en-GB"/>
        </w:rPr>
        <w:t xml:space="preserve">IARC: </w:t>
      </w:r>
      <w:r w:rsidRPr="00554021">
        <w:rPr>
          <w:rFonts w:ascii="Calibri" w:hAnsi="Calibri" w:cs="Calibri"/>
          <w:noProof/>
          <w:lang w:val="en-GB"/>
        </w:rPr>
        <w:t>Lyon</w:t>
      </w:r>
      <w:r w:rsidR="0030378F">
        <w:rPr>
          <w:rFonts w:ascii="Calibri" w:hAnsi="Calibri" w:cs="Calibri"/>
          <w:noProof/>
          <w:lang w:val="en-GB"/>
        </w:rPr>
        <w:t>, France</w:t>
      </w:r>
      <w:r w:rsidRPr="00554021">
        <w:rPr>
          <w:rFonts w:ascii="Calibri" w:hAnsi="Calibri" w:cs="Calibri"/>
          <w:noProof/>
          <w:lang w:val="en-GB"/>
        </w:rPr>
        <w:t>.</w:t>
      </w:r>
    </w:p>
    <w:p w14:paraId="729580BE" w14:textId="158DFF33"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 xml:space="preserve">Iyer, H.S., James, P., Valeri, L., Hart, J.E., Pernar, C.H., Mucci, L.A., Holmes, M.D., Laden, F., Rebbeck, T.R., 2020. The association between neighborhood greenness and incidence of lethal prostate cancer: A prospective cohort study. Environ. Epidemiol. </w:t>
      </w:r>
      <w:r w:rsidR="007F73ED" w:rsidRPr="007F73ED">
        <w:rPr>
          <w:rFonts w:ascii="Calibri" w:hAnsi="Calibri" w:cs="Calibri"/>
          <w:noProof/>
          <w:lang w:val="en-GB"/>
        </w:rPr>
        <w:t>4(2):e091. doi:10.1097/EE9.0000000000000091</w:t>
      </w:r>
    </w:p>
    <w:p w14:paraId="6C78EBD0"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Izci, H., Tambuyzer, T., Vandeven, J., Xicluna, J., Wildiers, H., Punie, K., Willers, N., Oldenburger, E., Van Nieuwenhuysen, E., Berteloot, P., Smeets, A., Nevelsteen, I., Deblander, A., De Schutter, H., Neven, P., Silversmit, G., Verdoodt, F., 2021. Cause of death for patients with breast cancer: discordance between death certificates and medical files, and impact on survival estimates. Arch. Public Heal. 79, 111. https://doi.org/10.1186/s13690-021-00637-w</w:t>
      </w:r>
    </w:p>
    <w:p w14:paraId="75FB6EE3" w14:textId="029C4E9F"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James, P., Hart, J.E., Banay, R.F., Laden, F., 2016. Exposure to Greenness and Mortality in a Nationwide Prospective Cohort Study of Women. Environ. Health Perspect. 124, 1344–1352. https://doi.org/10.1289/ehp.1510363</w:t>
      </w:r>
    </w:p>
    <w:p w14:paraId="49DA030F"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Keum, N., Giovannucci, E., 2019. Global burden of colorectal cancer: emerging trends, risk factors and prevention strategies. Nat. Rev. Gastroenterol. Hepatol. 16, 713–732. https://doi.org/10.1038/s41575-019-0189-8</w:t>
      </w:r>
    </w:p>
    <w:p w14:paraId="4BB43562" w14:textId="5C320F53" w:rsidR="00554021" w:rsidRPr="00AA009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 xml:space="preserve">Klompmaker, J.O., Hoek, G., Bloemsma, L.D., Marra, M., Wijga, A.H., van den Brink, C., Brunekreef, B., Lebret, E., Gehring, U., Janssen, N.A.H., 2020. Surrounding green, air pollution, traffic noise exposure and non-accidental and cause-specific mortality. </w:t>
      </w:r>
      <w:r w:rsidRPr="00AA0091">
        <w:rPr>
          <w:rFonts w:ascii="Calibri" w:hAnsi="Calibri" w:cs="Calibri"/>
          <w:noProof/>
          <w:lang w:val="en-GB"/>
        </w:rPr>
        <w:t>Environ. Int. 134, 105341. https://doi.org/10.1016/j.envint.2019.105341</w:t>
      </w:r>
    </w:p>
    <w:p w14:paraId="5B70CFC2"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AA0091">
        <w:rPr>
          <w:rFonts w:ascii="Calibri" w:hAnsi="Calibri" w:cs="Calibri"/>
          <w:noProof/>
          <w:lang w:val="en-GB"/>
        </w:rPr>
        <w:t xml:space="preserve">Klompmaker, J.O., Hoek, G., Bloemsma, L.D., Wijga, A.H., Brink, C. Van Den, Brunekreef, B., Lebret, E., Gehring, U., Janssen, N.A.H., 2019. </w:t>
      </w:r>
      <w:r w:rsidRPr="00554021">
        <w:rPr>
          <w:rFonts w:ascii="Calibri" w:hAnsi="Calibri" w:cs="Calibri"/>
          <w:noProof/>
          <w:lang w:val="en-GB"/>
        </w:rPr>
        <w:t>Associations of combined exposures to surrounding green , air pollution and traffic noise on mental health. Environ. Int. 129, 525–537. https://doi.org/10.1016/j.envint.2019.05.040</w:t>
      </w:r>
    </w:p>
    <w:p w14:paraId="11DF398B" w14:textId="77777777" w:rsidR="00554021" w:rsidRPr="0030378F" w:rsidRDefault="00554021" w:rsidP="00554021">
      <w:pPr>
        <w:widowControl w:val="0"/>
        <w:autoSpaceDE w:val="0"/>
        <w:autoSpaceDN w:val="0"/>
        <w:adjustRightInd w:val="0"/>
        <w:ind w:left="480" w:hanging="480"/>
        <w:rPr>
          <w:rFonts w:ascii="Calibri" w:hAnsi="Calibri" w:cs="Calibri"/>
          <w:noProof/>
          <w:lang w:val="fr-FR"/>
        </w:rPr>
      </w:pPr>
      <w:r w:rsidRPr="00554021">
        <w:rPr>
          <w:rFonts w:ascii="Calibri" w:hAnsi="Calibri" w:cs="Calibri"/>
          <w:noProof/>
          <w:lang w:val="en-GB"/>
        </w:rPr>
        <w:t xml:space="preserve">Klompmaker, J.O., Janssen, N.A.H., Bloemsma, L.D., Marra, M., Lebret, E., Gehring, U., Hoek, G., 2021. Effects of exposure to surrounding green, air pollution and traffic noise with non-accidental and cause-specific mortality in the Dutch national cohort. </w:t>
      </w:r>
      <w:r w:rsidRPr="0030378F">
        <w:rPr>
          <w:rFonts w:ascii="Calibri" w:hAnsi="Calibri" w:cs="Calibri"/>
          <w:noProof/>
          <w:lang w:val="fr-FR"/>
        </w:rPr>
        <w:t>Environ. Heal. 20, 82. https://doi.org/10.1186/s12940-021-00769-0</w:t>
      </w:r>
    </w:p>
    <w:p w14:paraId="3BAF4AD6" w14:textId="77352E9F"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AA0091">
        <w:rPr>
          <w:rFonts w:ascii="Calibri" w:hAnsi="Calibri" w:cs="Calibri"/>
          <w:noProof/>
          <w:lang w:val="fr-FR"/>
        </w:rPr>
        <w:t xml:space="preserve">Lefebvre, W., Vranckx, S., 2013. </w:t>
      </w:r>
      <w:r w:rsidRPr="00554021">
        <w:rPr>
          <w:rFonts w:ascii="Calibri" w:hAnsi="Calibri" w:cs="Calibri"/>
          <w:noProof/>
          <w:lang w:val="en-GB"/>
        </w:rPr>
        <w:t>Validation of the IFDM-model for use in urban applications: study accomplished in the framework of the ATMOSYS-project.</w:t>
      </w:r>
      <w:r w:rsidR="00F01DA2" w:rsidRPr="00F01DA2">
        <w:t xml:space="preserve"> </w:t>
      </w:r>
      <w:r w:rsidR="00F01DA2" w:rsidRPr="00F01DA2">
        <w:rPr>
          <w:rFonts w:ascii="Calibri" w:hAnsi="Calibri" w:cs="Calibri"/>
          <w:noProof/>
          <w:lang w:val="en-GB"/>
        </w:rPr>
        <w:t xml:space="preserve">VITO report 2013/RMA/R/56. </w:t>
      </w:r>
      <w:r w:rsidRPr="00554021">
        <w:rPr>
          <w:rFonts w:ascii="Calibri" w:hAnsi="Calibri" w:cs="Calibri"/>
          <w:noProof/>
          <w:lang w:val="en-GB"/>
        </w:rPr>
        <w:t>Mol, Belgium.</w:t>
      </w:r>
    </w:p>
    <w:p w14:paraId="4ED6B634"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lastRenderedPageBreak/>
        <w:t>Luyten, S., Van Hecke, E., 2007. Statistics Belgium Working Paper: De Belgische Stadsgewesten 2001 [in English: the Belgian city districts 2001]. Leuvenseweg 44 1000 Brussel.</w:t>
      </w:r>
    </w:p>
    <w:p w14:paraId="1E18C727"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Maas, J., van Dillen, S.M.E., Verheij, R.A., Groenewegen, P.P., 2009. Social contacts as a possible mechanism behind the relation between green space and health. Heal. Place 15, 586–95. https://doi.org/10.1016/j.healthplace.2008.09.006</w:t>
      </w:r>
    </w:p>
    <w:p w14:paraId="379CE9FA" w14:textId="64A5D257" w:rsidR="00554021" w:rsidRPr="0030378F" w:rsidRDefault="00554021" w:rsidP="00554021">
      <w:pPr>
        <w:widowControl w:val="0"/>
        <w:autoSpaceDE w:val="0"/>
        <w:autoSpaceDN w:val="0"/>
        <w:adjustRightInd w:val="0"/>
        <w:ind w:left="480" w:hanging="480"/>
        <w:rPr>
          <w:rFonts w:ascii="Calibri" w:hAnsi="Calibri" w:cs="Calibri"/>
          <w:noProof/>
          <w:lang w:val="fr-FR"/>
        </w:rPr>
      </w:pPr>
      <w:r w:rsidRPr="00554021">
        <w:rPr>
          <w:rFonts w:ascii="Calibri" w:hAnsi="Calibri" w:cs="Calibri"/>
          <w:noProof/>
          <w:lang w:val="en-GB"/>
        </w:rPr>
        <w:t xml:space="preserve">Markevych, I., Schoierer, J., Hartig, T., Chudnovsky, A., Hystad, P., Dzhambov, A.M., de Vries, S., Triguero-Mas, M., Brauer, M., Nieuwenhuijsen, M.J., Lupp, G., Richardson, E.A., Astell-Burt, T., Dimitrova, D., Feng, X., Sadeh, M., Standl, M., Heinrich, J., Fuertes, E., 2017. Exploring pathways linking greenspace to health: Theoretical and methodological guidance. </w:t>
      </w:r>
      <w:r w:rsidRPr="0030378F">
        <w:rPr>
          <w:rFonts w:ascii="Calibri" w:hAnsi="Calibri" w:cs="Calibri"/>
          <w:noProof/>
          <w:lang w:val="fr-FR"/>
        </w:rPr>
        <w:t>Environ. Res. 158, 301–317. https://doi.org/10.1016/j.envres.2017.06.028</w:t>
      </w:r>
    </w:p>
    <w:p w14:paraId="19C8E840"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AA0091">
        <w:rPr>
          <w:rFonts w:ascii="Calibri" w:hAnsi="Calibri" w:cs="Calibri"/>
          <w:noProof/>
          <w:lang w:val="fr-FR"/>
        </w:rPr>
        <w:t xml:space="preserve">Mitchell, R., Popham, F., 2008. </w:t>
      </w:r>
      <w:r w:rsidRPr="00554021">
        <w:rPr>
          <w:rFonts w:ascii="Calibri" w:hAnsi="Calibri" w:cs="Calibri"/>
          <w:noProof/>
          <w:lang w:val="en-GB"/>
        </w:rPr>
        <w:t>Effect of exposure to natural environment on health inequalities : an observational population study. Lancet 372, 1655–1660. https://doi.org/10.1016/S0140-6736(08)61689-X</w:t>
      </w:r>
    </w:p>
    <w:p w14:paraId="4B829D37"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Nieuwenhuijsen, M.J., Khreis, H., Triguero-Mas, M., Gascon, M., Dadvand, P., 2017. Fifty Shades of Green. Pathway to Healthy Urban Living. Epidemiology 28, 63–71. https://doi.org/10.1097/EDE.0000000000000549</w:t>
      </w:r>
    </w:p>
    <w:p w14:paraId="6CD62922"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O’Callaghan-Gordo, C., Kogevinas, M., Cirach, M., Vidan, J., José, A., Oribe, M., Gràcia-lavedan, E., 2018. Residential proximity to green spaces and breast cancer risk : The multicase- control study in Spain ( MCC-Spain ). Int. J. Hyg. Environ. Health 221, 1097–1106. https://doi.org/10.1016/j.ijheh.2018.07.014</w:t>
      </w:r>
    </w:p>
    <w:p w14:paraId="6EF4FB9A"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30378F">
        <w:rPr>
          <w:rFonts w:ascii="Calibri" w:hAnsi="Calibri" w:cs="Calibri"/>
          <w:noProof/>
          <w:lang w:val="fr-FR"/>
        </w:rPr>
        <w:t xml:space="preserve">Orioli, R., Antonucci, C., Scortichini, M., Cerza, F., Marando, F., Ancona, C., Manes, F., Davoli, M., Michelozzi, P., Forastiere, F., Cesaroni, G., 2019. </w:t>
      </w:r>
      <w:r w:rsidRPr="00554021">
        <w:rPr>
          <w:rFonts w:ascii="Calibri" w:hAnsi="Calibri" w:cs="Calibri"/>
          <w:noProof/>
          <w:lang w:val="en-GB"/>
        </w:rPr>
        <w:t>Exposure to Residential Greenness as a Predictor of Cause-Specific Mortality and Stroke Incidence in the Rome Longitudinal Study. Environ. Health Perspect. 127, 1–11.</w:t>
      </w:r>
    </w:p>
    <w:p w14:paraId="476545B2"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Perez-Cornago, A., Appleby, P.N., Pischon, T., Tsilidis, K.K., Tjønneland, A., Olsen, A., Overvad, K., Kaaks, R., Kühn, T., Boeing, H., Steffen, A., Trichopoulou, A., Lagiou, P., Kritikou, M., Krogh, V., Palli, D., Sacerdote, C., Tumino, R., Bueno-de-Mesquita, H.B., Agudo, A., Larrañaga, N., Molina-Portillo, E., Barricarte, A., Chirlaque, M.-D., Quirós, J.R., Stattin, P., Häggström, C., Wareham, N., Khaw, K.-T., Schmidt, J.A., Gunter, M., Freisling, H., Aune, D., Ward, H., Riboli, E., Key, T.J., Travis, R.C., 2017. Tall height and obesity are associated with an increased risk of aggressive prostate cancer: results from the EPIC cohort study. BMC Med. 15, 115. https://doi.org/10.1186/s12916-017-0876-7</w:t>
      </w:r>
    </w:p>
    <w:p w14:paraId="132F9628" w14:textId="170E8E3C"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 xml:space="preserve">Pinquart, M., Duberstein, P.R., 2010. Depression and cancer mortality: a meta-analysis. Psychol. Med. 40, 1797–1810. </w:t>
      </w:r>
      <w:r w:rsidR="005A3154">
        <w:rPr>
          <w:rFonts w:ascii="Calibri" w:hAnsi="Calibri" w:cs="Calibri"/>
          <w:noProof/>
          <w:lang w:val="en-GB"/>
        </w:rPr>
        <w:t>doi:</w:t>
      </w:r>
      <w:r w:rsidRPr="00554021">
        <w:rPr>
          <w:rFonts w:ascii="Calibri" w:hAnsi="Calibri" w:cs="Calibri"/>
          <w:noProof/>
          <w:lang w:val="en-GB"/>
        </w:rPr>
        <w:t>10.1017/S0033291709992285</w:t>
      </w:r>
    </w:p>
    <w:p w14:paraId="23A043DD"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R Core Team, 2020. R: A language and environment for statistical computing.</w:t>
      </w:r>
    </w:p>
    <w:p w14:paraId="56584C20"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Renehan, A.G., Tyson, M., Egger, M., Heller, R.F., Zwahlen, M., 2008. Body-mass index and incidence of cancer: a systematic review and meta-analysis of prospective observational studies. Lancet 371, 569–578. https://doi.org/10.1016/S0140-6736(08)60269-X</w:t>
      </w:r>
    </w:p>
    <w:p w14:paraId="146D5579" w14:textId="0B4DE5A0"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Richardson, E., Pearce, J., Mitchell, R., Day, P., Kingham, S., 2010. The association between green space and cause-specific mortality in urban New Zealand : an ecological analysis of green space utility. BMC Public Health 10, 240. https://doi.org/10.1186/1471-2458-10-240</w:t>
      </w:r>
    </w:p>
    <w:p w14:paraId="4174C15F"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Richardson, E.A., Mitchell, R., 2010. Gender differences in relationships between urban green space and health in the United Kingdom. Soc. Sci. Med. 71, 568–575. https://doi.org/10.1016/j.socscimed.2010.04.015</w:t>
      </w:r>
    </w:p>
    <w:p w14:paraId="372B3F1E"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lastRenderedPageBreak/>
        <w:t>Richardson, E.A., Mitchell, R., Hartig, T., de Vries, S., Astell-Burt, T., Frumkin, H., 2012. Green cities and health: a question of scale? J. Epidemiol. Community Health 66, 160 LP – 165. https://doi.org/10.1136/jech.2011.137240</w:t>
      </w:r>
    </w:p>
    <w:p w14:paraId="11212111" w14:textId="7A655D2B" w:rsidR="00554021" w:rsidRPr="0030378F" w:rsidRDefault="00554021" w:rsidP="00554021">
      <w:pPr>
        <w:widowControl w:val="0"/>
        <w:autoSpaceDE w:val="0"/>
        <w:autoSpaceDN w:val="0"/>
        <w:adjustRightInd w:val="0"/>
        <w:ind w:left="480" w:hanging="480"/>
        <w:rPr>
          <w:rFonts w:ascii="Calibri" w:hAnsi="Calibri" w:cs="Calibri"/>
          <w:noProof/>
          <w:lang w:val="fr-FR"/>
        </w:rPr>
      </w:pPr>
      <w:r w:rsidRPr="00554021">
        <w:rPr>
          <w:rFonts w:ascii="Calibri" w:hAnsi="Calibri" w:cs="Calibri"/>
          <w:noProof/>
          <w:lang w:val="en-GB"/>
        </w:rPr>
        <w:t xml:space="preserve">Rodriguez-Loureiro, L., Casas, L., Bauwelinck, M., Lefebvre, W., Vanpoucke, C., Gadeyne, S., 2022. Long-term exposure to objective and perceived residential greenness and diabetes mortality: A census-based cohort study. </w:t>
      </w:r>
      <w:r w:rsidRPr="0030378F">
        <w:rPr>
          <w:rFonts w:ascii="Calibri" w:hAnsi="Calibri" w:cs="Calibri"/>
          <w:noProof/>
          <w:lang w:val="fr-FR"/>
        </w:rPr>
        <w:t>Sci. Total Environ. 153445. https://doi.org/10.1016/j.scitotenv.2022.153445</w:t>
      </w:r>
    </w:p>
    <w:p w14:paraId="3EFE415F"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30378F">
        <w:rPr>
          <w:rFonts w:ascii="Calibri" w:hAnsi="Calibri" w:cs="Calibri"/>
          <w:noProof/>
          <w:lang w:val="fr-FR"/>
        </w:rPr>
        <w:t xml:space="preserve">Rosskamp, M., Verbeeck, J., Gadeyne, S., Verdoodt, F., De Schutter, H., 2021. </w:t>
      </w:r>
      <w:r w:rsidRPr="00554021">
        <w:rPr>
          <w:rFonts w:ascii="Calibri" w:hAnsi="Calibri" w:cs="Calibri"/>
          <w:noProof/>
          <w:lang w:val="en-GB"/>
        </w:rPr>
        <w:t>Socio-Economic Position, Cancer Incidence and Stage at Diagnosis: A Nationwide Cohort Study in Belgium. Cancers . https://doi.org/10.3390/cancers13050933</w:t>
      </w:r>
    </w:p>
    <w:p w14:paraId="3B1EBC31"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Schmid, D., Leitzmann, M.F., 2014. Association between physical activity and mortality among breast cancer and colorectal cancer survivors: a systematic review and meta-analysis. Ann. Oncol. 25, 1293–1311. https://doi.org/10.1093/annonc/mdu012</w:t>
      </w:r>
    </w:p>
    <w:p w14:paraId="2526861C" w14:textId="40BCB4B8"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 xml:space="preserve">Science for Environment Policy, 2016. Links between noise and air pollution and socioeconomic status. </w:t>
      </w:r>
      <w:r w:rsidR="00CD713C">
        <w:rPr>
          <w:rFonts w:ascii="Calibri" w:hAnsi="Calibri" w:cs="Calibri"/>
          <w:noProof/>
          <w:lang w:val="en-GB"/>
        </w:rPr>
        <w:t>European Commission, Directorate-General for the Environment Publications Office</w:t>
      </w:r>
      <w:r w:rsidRPr="00554021">
        <w:rPr>
          <w:rFonts w:ascii="Calibri" w:hAnsi="Calibri" w:cs="Calibri"/>
          <w:noProof/>
          <w:lang w:val="en-GB"/>
        </w:rPr>
        <w:t>.</w:t>
      </w:r>
      <w:r w:rsidR="00CD713C">
        <w:rPr>
          <w:rFonts w:ascii="Calibri" w:hAnsi="Calibri" w:cs="Calibri"/>
          <w:noProof/>
          <w:lang w:val="en-GB"/>
        </w:rPr>
        <w:t xml:space="preserve"> </w:t>
      </w:r>
      <w:r w:rsidR="00CD713C" w:rsidRPr="00CD713C">
        <w:rPr>
          <w:rFonts w:ascii="Calibri" w:hAnsi="Calibri" w:cs="Calibri"/>
          <w:noProof/>
          <w:lang w:val="en-GB"/>
        </w:rPr>
        <w:t>https://data.europa.eu/doi/10.2779/200217</w:t>
      </w:r>
      <w:r w:rsidR="00CD713C">
        <w:rPr>
          <w:rFonts w:ascii="Calibri" w:hAnsi="Calibri" w:cs="Calibri"/>
          <w:noProof/>
          <w:lang w:val="en-GB"/>
        </w:rPr>
        <w:t xml:space="preserve"> </w:t>
      </w:r>
    </w:p>
    <w:p w14:paraId="51F39FA3" w14:textId="5C72E32D"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Statistics Belgium (Statbel), 2019. In 2016, tumours continue to increase as initial causes of death [</w:t>
      </w:r>
      <w:r w:rsidR="00A9269F">
        <w:rPr>
          <w:rFonts w:ascii="Calibri" w:hAnsi="Calibri" w:cs="Calibri"/>
          <w:noProof/>
          <w:lang w:val="en-GB"/>
        </w:rPr>
        <w:t>Online</w:t>
      </w:r>
      <w:r w:rsidRPr="00554021">
        <w:rPr>
          <w:rFonts w:ascii="Calibri" w:hAnsi="Calibri" w:cs="Calibri"/>
          <w:noProof/>
          <w:lang w:val="en-GB"/>
        </w:rPr>
        <w:t>]. https://statbel.fgov.be/en/news/2016-tumours-continue-increase-initial-causes-death (accessed 11.30.21).</w:t>
      </w:r>
    </w:p>
    <w:p w14:paraId="0A40044A"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Tasnim, N., Abulizi, N., Pither, J., Hart, M.M., Gibson, D.L., 2017. Linking the Gut Microbial Ecosystem with the Environment: Does Gut Health Depend on Where We Live? Front. Microbiol. 8, 1935. https://doi.org/10.3389/fmicb.2017.01935</w:t>
      </w:r>
    </w:p>
    <w:p w14:paraId="54F136B7"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Therneau, T.M., 2020. coxme: Mixed Effects Cox Models.</w:t>
      </w:r>
    </w:p>
    <w:p w14:paraId="44CCEE49"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Tingley, D., Yamamoto, T., Hirose, K., Keele, L., Imai, K., 2014. mediation: R Package for Causal Mediation Analysis. J. Stat. Softw. 59, 1–38.</w:t>
      </w:r>
    </w:p>
    <w:p w14:paraId="04DE3E44" w14:textId="1CDC7E32"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Turner, M.C., Andersen, Z.J., Baccarelli, A., Diver, W.R., Gapstur, S.M., Pope III, C.A., Prada, D., Samet, J., Thurston, G., Cohen, A., 2020. Outdoor air pollution and cancer: An overview of the current evidence and public health recommendations. CA. Cancer J. Clin. 70, 460–479. https://doi.org/10.3322/caac.21632</w:t>
      </w:r>
    </w:p>
    <w:p w14:paraId="5D075EB7" w14:textId="4A891946"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UN, 2018. World Urbanization Prospects 2018: Percentage of Population at Mid-Year Residing in Urban Areas by region, subregion and country, 1950-2050 [</w:t>
      </w:r>
      <w:r w:rsidR="002C48CE">
        <w:rPr>
          <w:rFonts w:ascii="Calibri" w:hAnsi="Calibri" w:cs="Calibri"/>
          <w:noProof/>
          <w:lang w:val="en-GB"/>
        </w:rPr>
        <w:t>Online</w:t>
      </w:r>
      <w:r w:rsidRPr="00554021">
        <w:rPr>
          <w:rFonts w:ascii="Calibri" w:hAnsi="Calibri" w:cs="Calibri"/>
          <w:noProof/>
          <w:lang w:val="en-GB"/>
        </w:rPr>
        <w:t>]. Dep. Econ. Soc. Aff. Popul. Dyn. https://population.un.org/wup/Download/ (</w:t>
      </w:r>
      <w:r w:rsidR="002C48CE">
        <w:rPr>
          <w:rFonts w:ascii="Calibri" w:hAnsi="Calibri" w:cs="Calibri"/>
          <w:noProof/>
          <w:lang w:val="en-GB"/>
        </w:rPr>
        <w:t>A</w:t>
      </w:r>
      <w:r w:rsidRPr="00554021">
        <w:rPr>
          <w:rFonts w:ascii="Calibri" w:hAnsi="Calibri" w:cs="Calibri"/>
          <w:noProof/>
          <w:lang w:val="en-GB"/>
        </w:rPr>
        <w:t>ccessed 3.31.22).</w:t>
      </w:r>
    </w:p>
    <w:p w14:paraId="7EC96C2B"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van Den Bosch, M., Ode Sang, Å., 2017. Urban natural environments as nature-based solutions for improved public health – A systematic review of reviews. Environ. Res. 158, 373–384. https://doi.org/10.1016/j.envres.2017.05.040</w:t>
      </w:r>
    </w:p>
    <w:p w14:paraId="104797B9"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van Gemert, W.A., Lanting, C.I., Goldbohm, R.A., van den Brandt, P.A., Grooters, H.G., Kampman, E., Kiemeney, L.A.L.M., van Leeuwen, F.E., Monninkhof, E.M., de Vries, E., Peeters, P.H., Elias, S.G., 2015. The proportion of postmenopausal breast cancer cases in the Netherlands attributable to lifestyle-related risk factors. Breast Cancer Res. Treat. 152, 155–162. https://doi.org/10.1007/s10549-015-3447-7</w:t>
      </w:r>
    </w:p>
    <w:p w14:paraId="25944F7A"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VanderWeele, T.J., 2016. Mediation Analysis: A Practitioner’s Guide. Annu. Rev. Public Health 37, 17–32. https://doi.org/10.1146/annurev-publhealth-032315-021402</w:t>
      </w:r>
    </w:p>
    <w:p w14:paraId="45B9C8CC"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Vienneau, D., Hoogh, K. De, Faeh, D., Kaufmann, M., Marc, J., Röösli, M., Snc, T., Group, S., 2017. More than clean air and tranquillity : Residential green is independently associated with decreasing mortality. Environ. Int. 108, 176–184. https://doi.org/10.1016/j.envint.2017.08.012</w:t>
      </w:r>
    </w:p>
    <w:p w14:paraId="03590CE9" w14:textId="77777777" w:rsidR="00554021" w:rsidRPr="0030378F" w:rsidRDefault="00554021" w:rsidP="00554021">
      <w:pPr>
        <w:widowControl w:val="0"/>
        <w:autoSpaceDE w:val="0"/>
        <w:autoSpaceDN w:val="0"/>
        <w:adjustRightInd w:val="0"/>
        <w:ind w:left="480" w:hanging="480"/>
        <w:rPr>
          <w:rFonts w:ascii="Calibri" w:hAnsi="Calibri" w:cs="Calibri"/>
          <w:noProof/>
          <w:lang w:val="fr-FR"/>
        </w:rPr>
      </w:pPr>
      <w:r w:rsidRPr="00554021">
        <w:rPr>
          <w:rFonts w:ascii="Calibri" w:hAnsi="Calibri" w:cs="Calibri"/>
          <w:noProof/>
          <w:lang w:val="en-GB"/>
        </w:rPr>
        <w:lastRenderedPageBreak/>
        <w:t xml:space="preserve">Villeneuve, P.J., Jerrett, M., Su, J.G., Burnett, R.T., Chen, H., Wheeler, A.J., Goldberg, M.S., 2012. A cohort study relating urban green space with mortality in Ontario, Canada. </w:t>
      </w:r>
      <w:r w:rsidRPr="0030378F">
        <w:rPr>
          <w:rFonts w:ascii="Calibri" w:hAnsi="Calibri" w:cs="Calibri"/>
          <w:noProof/>
          <w:lang w:val="fr-FR"/>
        </w:rPr>
        <w:t>Environ. Res. 115, 51–58. https://doi.org/10.1016/j.envres.2012.03.003</w:t>
      </w:r>
    </w:p>
    <w:p w14:paraId="0A50EF1C"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30378F">
        <w:rPr>
          <w:rFonts w:ascii="Calibri" w:hAnsi="Calibri" w:cs="Calibri"/>
          <w:noProof/>
          <w:lang w:val="fr-FR"/>
        </w:rPr>
        <w:t xml:space="preserve">Wei, T., Simko, V., 2021. </w:t>
      </w:r>
      <w:r w:rsidRPr="00554021">
        <w:rPr>
          <w:rFonts w:ascii="Calibri" w:hAnsi="Calibri" w:cs="Calibri"/>
          <w:noProof/>
          <w:lang w:val="en-GB"/>
        </w:rPr>
        <w:t>R package “corrplot”: Visualization of a Correlation Matrix (Version 0.89).</w:t>
      </w:r>
    </w:p>
    <w:p w14:paraId="5DF1BBF1" w14:textId="65CC5328"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WHO, 2022. Cancer</w:t>
      </w:r>
      <w:r w:rsidR="00C25C9E">
        <w:rPr>
          <w:rFonts w:ascii="Calibri" w:hAnsi="Calibri" w:cs="Calibri"/>
          <w:noProof/>
          <w:lang w:val="en-GB"/>
        </w:rPr>
        <w:t xml:space="preserve"> [Online].</w:t>
      </w:r>
      <w:r w:rsidRPr="00554021">
        <w:rPr>
          <w:rFonts w:ascii="Calibri" w:hAnsi="Calibri" w:cs="Calibri"/>
          <w:noProof/>
          <w:lang w:val="en-GB"/>
        </w:rPr>
        <w:t xml:space="preserve"> https://www.who.int/news-room/fact-sheets/detail/cancer#:~:text=Risk factors for cancers,- and middle-income countries. (</w:t>
      </w:r>
      <w:r w:rsidR="00C25C9E">
        <w:rPr>
          <w:rFonts w:ascii="Calibri" w:hAnsi="Calibri" w:cs="Calibri"/>
          <w:noProof/>
          <w:lang w:val="en-GB"/>
        </w:rPr>
        <w:t>A</w:t>
      </w:r>
      <w:r w:rsidRPr="00554021">
        <w:rPr>
          <w:rFonts w:ascii="Calibri" w:hAnsi="Calibri" w:cs="Calibri"/>
          <w:noProof/>
          <w:lang w:val="en-GB"/>
        </w:rPr>
        <w:t>ccessed 3.31.22).</w:t>
      </w:r>
    </w:p>
    <w:p w14:paraId="1DC4044A" w14:textId="7D807071"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WHO, 2016. Urban green spaces and health: A review of evidence.</w:t>
      </w:r>
      <w:r w:rsidR="00C25C9E">
        <w:rPr>
          <w:rFonts w:ascii="Calibri" w:hAnsi="Calibri" w:cs="Calibri"/>
          <w:noProof/>
          <w:lang w:val="en-GB"/>
        </w:rPr>
        <w:t xml:space="preserve"> [Online]. </w:t>
      </w:r>
      <w:r w:rsidR="00C25C9E" w:rsidRPr="00C25C9E">
        <w:rPr>
          <w:rFonts w:ascii="Calibri" w:hAnsi="Calibri" w:cs="Calibri"/>
          <w:noProof/>
          <w:lang w:val="en-GB"/>
        </w:rPr>
        <w:t>https://www.euro.who.int/__data/assets/pdf_file/0005/321971/Urban-green-spaces-and-health-review-evidence.pdf</w:t>
      </w:r>
      <w:r w:rsidR="00C25C9E">
        <w:rPr>
          <w:rFonts w:ascii="Calibri" w:hAnsi="Calibri" w:cs="Calibri"/>
          <w:noProof/>
          <w:lang w:val="en-GB"/>
        </w:rPr>
        <w:t xml:space="preserve"> [Accessed </w:t>
      </w:r>
      <w:r w:rsidR="00EA5314">
        <w:rPr>
          <w:rFonts w:ascii="Calibri" w:hAnsi="Calibri" w:cs="Calibri"/>
          <w:noProof/>
          <w:lang w:val="en-GB"/>
        </w:rPr>
        <w:t>31.08.2022].</w:t>
      </w:r>
    </w:p>
    <w:p w14:paraId="03E54867" w14:textId="77777777"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Wickham, H., 2016. ggplot2: Elegant Graphics for Data Analysis.</w:t>
      </w:r>
    </w:p>
    <w:p w14:paraId="0E174FC4" w14:textId="712DE0D2"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World Bank, 2020. The World by Income and Region [</w:t>
      </w:r>
      <w:r w:rsidR="00EA5314">
        <w:rPr>
          <w:rFonts w:ascii="Calibri" w:hAnsi="Calibri" w:cs="Calibri"/>
          <w:noProof/>
          <w:lang w:val="en-GB"/>
        </w:rPr>
        <w:t>Online]</w:t>
      </w:r>
      <w:r w:rsidRPr="00554021">
        <w:rPr>
          <w:rFonts w:ascii="Calibri" w:hAnsi="Calibri" w:cs="Calibri"/>
          <w:noProof/>
          <w:lang w:val="en-GB"/>
        </w:rPr>
        <w:t>. https://datatopics.worldbank.org/world-development-indicators/the-world-by-income-and-region.html (</w:t>
      </w:r>
      <w:r w:rsidR="00EA5314">
        <w:rPr>
          <w:rFonts w:ascii="Calibri" w:hAnsi="Calibri" w:cs="Calibri"/>
          <w:noProof/>
          <w:lang w:val="en-GB"/>
        </w:rPr>
        <w:t>A</w:t>
      </w:r>
      <w:r w:rsidRPr="00554021">
        <w:rPr>
          <w:rFonts w:ascii="Calibri" w:hAnsi="Calibri" w:cs="Calibri"/>
          <w:noProof/>
          <w:lang w:val="en-GB"/>
        </w:rPr>
        <w:t>ccessed 4.1.22).</w:t>
      </w:r>
    </w:p>
    <w:p w14:paraId="2F5BDC75" w14:textId="756F0261" w:rsidR="00554021" w:rsidRPr="00554021" w:rsidRDefault="00554021" w:rsidP="00554021">
      <w:pPr>
        <w:widowControl w:val="0"/>
        <w:autoSpaceDE w:val="0"/>
        <w:autoSpaceDN w:val="0"/>
        <w:adjustRightInd w:val="0"/>
        <w:ind w:left="480" w:hanging="480"/>
        <w:rPr>
          <w:rFonts w:ascii="Calibri" w:hAnsi="Calibri" w:cs="Calibri"/>
          <w:noProof/>
          <w:lang w:val="en-GB"/>
        </w:rPr>
      </w:pPr>
      <w:r w:rsidRPr="00554021">
        <w:rPr>
          <w:rFonts w:ascii="Calibri" w:hAnsi="Calibri" w:cs="Calibri"/>
          <w:noProof/>
          <w:lang w:val="en-GB"/>
        </w:rPr>
        <w:t>World Health Organization (WHO), 2016. ICD-10 Version: 2016 [</w:t>
      </w:r>
      <w:r w:rsidR="00EA5314">
        <w:rPr>
          <w:rFonts w:ascii="Calibri" w:hAnsi="Calibri" w:cs="Calibri"/>
          <w:noProof/>
          <w:lang w:val="en-GB"/>
        </w:rPr>
        <w:t>Online</w:t>
      </w:r>
      <w:r w:rsidRPr="00554021">
        <w:rPr>
          <w:rFonts w:ascii="Calibri" w:hAnsi="Calibri" w:cs="Calibri"/>
          <w:noProof/>
          <w:lang w:val="en-GB"/>
        </w:rPr>
        <w:t>]. https://icd.who.int/browse10/2016/en (</w:t>
      </w:r>
      <w:r w:rsidR="00EA5314">
        <w:rPr>
          <w:rFonts w:ascii="Calibri" w:hAnsi="Calibri" w:cs="Calibri"/>
          <w:noProof/>
          <w:lang w:val="en-GB"/>
        </w:rPr>
        <w:t>A</w:t>
      </w:r>
      <w:r w:rsidRPr="00554021">
        <w:rPr>
          <w:rFonts w:ascii="Calibri" w:hAnsi="Calibri" w:cs="Calibri"/>
          <w:noProof/>
          <w:lang w:val="en-GB"/>
        </w:rPr>
        <w:t>ccessed 10.9.19).</w:t>
      </w:r>
    </w:p>
    <w:p w14:paraId="72254E91" w14:textId="447EF563" w:rsidR="00554021" w:rsidRPr="00554021" w:rsidRDefault="00554021" w:rsidP="00554021">
      <w:pPr>
        <w:widowControl w:val="0"/>
        <w:autoSpaceDE w:val="0"/>
        <w:autoSpaceDN w:val="0"/>
        <w:adjustRightInd w:val="0"/>
        <w:ind w:left="480" w:hanging="480"/>
        <w:rPr>
          <w:rFonts w:ascii="Calibri" w:hAnsi="Calibri" w:cs="Calibri"/>
          <w:noProof/>
        </w:rPr>
      </w:pPr>
      <w:r w:rsidRPr="00554021">
        <w:rPr>
          <w:rFonts w:ascii="Calibri" w:hAnsi="Calibri" w:cs="Calibri"/>
          <w:noProof/>
          <w:lang w:val="en-GB"/>
        </w:rPr>
        <w:t xml:space="preserve">Zare Sakhvidi, M.J., Yang, J., Siemiatycki, J., Dadvand, P., de Hoogh, K., Vienneau, D., Goldberg, M., Zins, M., Lequy, E., Jacquemin, B., 2021. Greenspace exposure and cancer incidence: A 27-year follow-up of the French GAZEL cohort. </w:t>
      </w:r>
      <w:r w:rsidRPr="0030378F">
        <w:rPr>
          <w:rFonts w:ascii="Calibri" w:hAnsi="Calibri" w:cs="Calibri"/>
          <w:noProof/>
          <w:lang w:val="fr-FR"/>
        </w:rPr>
        <w:t>Sci. Total Environ. 787, 147553.</w:t>
      </w:r>
      <w:r w:rsidR="00EA5314">
        <w:rPr>
          <w:rFonts w:ascii="Calibri" w:hAnsi="Calibri" w:cs="Calibri"/>
          <w:noProof/>
          <w:lang w:val="fr-FR"/>
        </w:rPr>
        <w:t xml:space="preserve"> </w:t>
      </w:r>
      <w:r w:rsidRPr="0030378F">
        <w:rPr>
          <w:rFonts w:ascii="Calibri" w:hAnsi="Calibri" w:cs="Calibri"/>
          <w:noProof/>
          <w:lang w:val="fr-FR"/>
        </w:rPr>
        <w:t>https://doi.org/10.1016/j.scitotenv.2021.147553</w:t>
      </w:r>
    </w:p>
    <w:p w14:paraId="1495F3B2" w14:textId="1C43F741" w:rsidR="00F10761" w:rsidRPr="00F10761" w:rsidRDefault="00F10761" w:rsidP="00554021">
      <w:pPr>
        <w:widowControl w:val="0"/>
        <w:autoSpaceDE w:val="0"/>
        <w:autoSpaceDN w:val="0"/>
        <w:adjustRightInd w:val="0"/>
        <w:ind w:left="480" w:hanging="480"/>
        <w:rPr>
          <w:b/>
          <w:lang w:val="en-US"/>
        </w:rPr>
      </w:pPr>
      <w:r>
        <w:rPr>
          <w:b/>
          <w:lang w:val="en-US"/>
        </w:rPr>
        <w:fldChar w:fldCharType="end"/>
      </w:r>
    </w:p>
    <w:sectPr w:rsidR="00F10761" w:rsidRPr="00F10761" w:rsidSect="00FB4A74">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4055" w14:textId="77777777" w:rsidR="007E48E4" w:rsidRDefault="007E48E4" w:rsidP="001150D9">
      <w:r>
        <w:separator/>
      </w:r>
    </w:p>
  </w:endnote>
  <w:endnote w:type="continuationSeparator" w:id="0">
    <w:p w14:paraId="50BDD1A5" w14:textId="77777777" w:rsidR="007E48E4" w:rsidRDefault="007E48E4" w:rsidP="001150D9">
      <w:r>
        <w:continuationSeparator/>
      </w:r>
    </w:p>
  </w:endnote>
  <w:endnote w:type="continuationNotice" w:id="1">
    <w:p w14:paraId="062C8579" w14:textId="77777777" w:rsidR="007E48E4" w:rsidRDefault="007E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192090"/>
      <w:docPartObj>
        <w:docPartGallery w:val="Page Numbers (Bottom of Page)"/>
        <w:docPartUnique/>
      </w:docPartObj>
    </w:sdtPr>
    <w:sdtEndPr>
      <w:rPr>
        <w:rStyle w:val="PageNumber"/>
      </w:rPr>
    </w:sdtEndPr>
    <w:sdtContent>
      <w:p w14:paraId="79634178" w14:textId="2465B2C0" w:rsidR="001150D9" w:rsidRDefault="001150D9" w:rsidP="002C0C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77012" w14:textId="77777777" w:rsidR="001150D9" w:rsidRDefault="001150D9" w:rsidP="001150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3806494"/>
      <w:docPartObj>
        <w:docPartGallery w:val="Page Numbers (Bottom of Page)"/>
        <w:docPartUnique/>
      </w:docPartObj>
    </w:sdtPr>
    <w:sdtEndPr>
      <w:rPr>
        <w:rStyle w:val="PageNumber"/>
      </w:rPr>
    </w:sdtEndPr>
    <w:sdtContent>
      <w:p w14:paraId="57368274" w14:textId="39BBBE6C" w:rsidR="001150D9" w:rsidRDefault="001150D9" w:rsidP="002C0C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FD3DBE" w14:textId="77777777" w:rsidR="001150D9" w:rsidRDefault="001150D9" w:rsidP="001150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FAEF" w14:textId="77777777" w:rsidR="007E48E4" w:rsidRDefault="007E48E4" w:rsidP="001150D9">
      <w:r>
        <w:separator/>
      </w:r>
    </w:p>
  </w:footnote>
  <w:footnote w:type="continuationSeparator" w:id="0">
    <w:p w14:paraId="46E9F2CA" w14:textId="77777777" w:rsidR="007E48E4" w:rsidRDefault="007E48E4" w:rsidP="001150D9">
      <w:r>
        <w:continuationSeparator/>
      </w:r>
    </w:p>
  </w:footnote>
  <w:footnote w:type="continuationNotice" w:id="1">
    <w:p w14:paraId="5564ADDA" w14:textId="77777777" w:rsidR="007E48E4" w:rsidRDefault="007E4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7D9" w14:textId="77777777" w:rsidR="000E4BFE" w:rsidRDefault="000E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1957"/>
    <w:multiLevelType w:val="hybridMultilevel"/>
    <w:tmpl w:val="A552CDCA"/>
    <w:lvl w:ilvl="0" w:tplc="D9342ED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26C3F"/>
    <w:multiLevelType w:val="multilevel"/>
    <w:tmpl w:val="EBFCB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E380E"/>
    <w:multiLevelType w:val="multilevel"/>
    <w:tmpl w:val="0686A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58644970">
    <w:abstractNumId w:val="1"/>
  </w:num>
  <w:num w:numId="2" w16cid:durableId="1800611667">
    <w:abstractNumId w:val="0"/>
  </w:num>
  <w:num w:numId="3" w16cid:durableId="517428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C3"/>
    <w:rsid w:val="0000029E"/>
    <w:rsid w:val="00001D28"/>
    <w:rsid w:val="00003165"/>
    <w:rsid w:val="00003864"/>
    <w:rsid w:val="0000412B"/>
    <w:rsid w:val="000045B8"/>
    <w:rsid w:val="00004FDC"/>
    <w:rsid w:val="000052A9"/>
    <w:rsid w:val="000055D8"/>
    <w:rsid w:val="00005DC6"/>
    <w:rsid w:val="000064E6"/>
    <w:rsid w:val="000065CB"/>
    <w:rsid w:val="00006E0B"/>
    <w:rsid w:val="00007F2A"/>
    <w:rsid w:val="00010552"/>
    <w:rsid w:val="000110CA"/>
    <w:rsid w:val="0001131E"/>
    <w:rsid w:val="00011629"/>
    <w:rsid w:val="0001182B"/>
    <w:rsid w:val="00012B64"/>
    <w:rsid w:val="000132AC"/>
    <w:rsid w:val="00013C1C"/>
    <w:rsid w:val="000157C7"/>
    <w:rsid w:val="0001595A"/>
    <w:rsid w:val="00016B55"/>
    <w:rsid w:val="00020777"/>
    <w:rsid w:val="00020B7F"/>
    <w:rsid w:val="0002103C"/>
    <w:rsid w:val="00021F73"/>
    <w:rsid w:val="0002217F"/>
    <w:rsid w:val="00022D99"/>
    <w:rsid w:val="00023A96"/>
    <w:rsid w:val="00023DC5"/>
    <w:rsid w:val="0002405B"/>
    <w:rsid w:val="00024BD4"/>
    <w:rsid w:val="00024F9E"/>
    <w:rsid w:val="000251AF"/>
    <w:rsid w:val="00025A16"/>
    <w:rsid w:val="00026229"/>
    <w:rsid w:val="00027E2D"/>
    <w:rsid w:val="0003137F"/>
    <w:rsid w:val="000317BB"/>
    <w:rsid w:val="00031BF8"/>
    <w:rsid w:val="00031C88"/>
    <w:rsid w:val="00032A9B"/>
    <w:rsid w:val="00032D41"/>
    <w:rsid w:val="0003303D"/>
    <w:rsid w:val="000343EF"/>
    <w:rsid w:val="0003446F"/>
    <w:rsid w:val="00034E46"/>
    <w:rsid w:val="00034FAF"/>
    <w:rsid w:val="00035152"/>
    <w:rsid w:val="0003550C"/>
    <w:rsid w:val="000357D2"/>
    <w:rsid w:val="000357DE"/>
    <w:rsid w:val="00035F53"/>
    <w:rsid w:val="000361E4"/>
    <w:rsid w:val="000368C6"/>
    <w:rsid w:val="00037474"/>
    <w:rsid w:val="00037863"/>
    <w:rsid w:val="0004045F"/>
    <w:rsid w:val="000406CE"/>
    <w:rsid w:val="0004197A"/>
    <w:rsid w:val="00042AC4"/>
    <w:rsid w:val="00043E8C"/>
    <w:rsid w:val="00044F57"/>
    <w:rsid w:val="00044FCA"/>
    <w:rsid w:val="00045F18"/>
    <w:rsid w:val="000473A0"/>
    <w:rsid w:val="00047E6F"/>
    <w:rsid w:val="0005003F"/>
    <w:rsid w:val="00050FAB"/>
    <w:rsid w:val="00051027"/>
    <w:rsid w:val="00051750"/>
    <w:rsid w:val="00054075"/>
    <w:rsid w:val="00054B95"/>
    <w:rsid w:val="0005659C"/>
    <w:rsid w:val="000565ED"/>
    <w:rsid w:val="00056CDF"/>
    <w:rsid w:val="00056D07"/>
    <w:rsid w:val="00056F22"/>
    <w:rsid w:val="0006029E"/>
    <w:rsid w:val="000602C6"/>
    <w:rsid w:val="00061389"/>
    <w:rsid w:val="00062634"/>
    <w:rsid w:val="00063417"/>
    <w:rsid w:val="0006493E"/>
    <w:rsid w:val="00064989"/>
    <w:rsid w:val="0006576F"/>
    <w:rsid w:val="00065783"/>
    <w:rsid w:val="00065FE0"/>
    <w:rsid w:val="00067788"/>
    <w:rsid w:val="00067C20"/>
    <w:rsid w:val="00067C45"/>
    <w:rsid w:val="00070EE2"/>
    <w:rsid w:val="0007190A"/>
    <w:rsid w:val="00071E05"/>
    <w:rsid w:val="00073405"/>
    <w:rsid w:val="00073FB0"/>
    <w:rsid w:val="000744E2"/>
    <w:rsid w:val="00075C00"/>
    <w:rsid w:val="000771B6"/>
    <w:rsid w:val="00077288"/>
    <w:rsid w:val="0007737D"/>
    <w:rsid w:val="00077A33"/>
    <w:rsid w:val="00083397"/>
    <w:rsid w:val="00084D48"/>
    <w:rsid w:val="0008534A"/>
    <w:rsid w:val="00085AE2"/>
    <w:rsid w:val="00085CE5"/>
    <w:rsid w:val="00086148"/>
    <w:rsid w:val="00087DB9"/>
    <w:rsid w:val="00092689"/>
    <w:rsid w:val="000926AD"/>
    <w:rsid w:val="00092D95"/>
    <w:rsid w:val="000938E1"/>
    <w:rsid w:val="00094033"/>
    <w:rsid w:val="0009572A"/>
    <w:rsid w:val="00095BD4"/>
    <w:rsid w:val="00096075"/>
    <w:rsid w:val="0009615A"/>
    <w:rsid w:val="0009688F"/>
    <w:rsid w:val="00096A54"/>
    <w:rsid w:val="000A0281"/>
    <w:rsid w:val="000A05D1"/>
    <w:rsid w:val="000A0D65"/>
    <w:rsid w:val="000A14DD"/>
    <w:rsid w:val="000A15A2"/>
    <w:rsid w:val="000A17AB"/>
    <w:rsid w:val="000A28EA"/>
    <w:rsid w:val="000A2EFA"/>
    <w:rsid w:val="000A2F3A"/>
    <w:rsid w:val="000A4A3E"/>
    <w:rsid w:val="000A61EF"/>
    <w:rsid w:val="000A6868"/>
    <w:rsid w:val="000B0A16"/>
    <w:rsid w:val="000B0BEB"/>
    <w:rsid w:val="000B0E7B"/>
    <w:rsid w:val="000B10FD"/>
    <w:rsid w:val="000B12A5"/>
    <w:rsid w:val="000B31A6"/>
    <w:rsid w:val="000B349F"/>
    <w:rsid w:val="000B4A3E"/>
    <w:rsid w:val="000B4C47"/>
    <w:rsid w:val="000B649D"/>
    <w:rsid w:val="000B6E9C"/>
    <w:rsid w:val="000C1118"/>
    <w:rsid w:val="000C1547"/>
    <w:rsid w:val="000C1B55"/>
    <w:rsid w:val="000C2371"/>
    <w:rsid w:val="000C2CF2"/>
    <w:rsid w:val="000C3FA4"/>
    <w:rsid w:val="000C4642"/>
    <w:rsid w:val="000C4A61"/>
    <w:rsid w:val="000C5043"/>
    <w:rsid w:val="000C5334"/>
    <w:rsid w:val="000C5C28"/>
    <w:rsid w:val="000C5F3B"/>
    <w:rsid w:val="000C6236"/>
    <w:rsid w:val="000C6A54"/>
    <w:rsid w:val="000C6E69"/>
    <w:rsid w:val="000C703F"/>
    <w:rsid w:val="000C7577"/>
    <w:rsid w:val="000C784B"/>
    <w:rsid w:val="000C7C9B"/>
    <w:rsid w:val="000D1214"/>
    <w:rsid w:val="000D1BD9"/>
    <w:rsid w:val="000D1F1B"/>
    <w:rsid w:val="000D2A47"/>
    <w:rsid w:val="000D354D"/>
    <w:rsid w:val="000D4BB8"/>
    <w:rsid w:val="000D6B38"/>
    <w:rsid w:val="000D7C27"/>
    <w:rsid w:val="000E0194"/>
    <w:rsid w:val="000E0251"/>
    <w:rsid w:val="000E04C9"/>
    <w:rsid w:val="000E137E"/>
    <w:rsid w:val="000E2394"/>
    <w:rsid w:val="000E2BB8"/>
    <w:rsid w:val="000E2BF4"/>
    <w:rsid w:val="000E39E5"/>
    <w:rsid w:val="000E3AB7"/>
    <w:rsid w:val="000E40C6"/>
    <w:rsid w:val="000E49F6"/>
    <w:rsid w:val="000E4BFE"/>
    <w:rsid w:val="000E7F14"/>
    <w:rsid w:val="000F0543"/>
    <w:rsid w:val="000F217E"/>
    <w:rsid w:val="000F336E"/>
    <w:rsid w:val="000F4796"/>
    <w:rsid w:val="000F5C30"/>
    <w:rsid w:val="000F667E"/>
    <w:rsid w:val="000F6E0D"/>
    <w:rsid w:val="000F791E"/>
    <w:rsid w:val="00100E3C"/>
    <w:rsid w:val="001014C8"/>
    <w:rsid w:val="0010157E"/>
    <w:rsid w:val="00102024"/>
    <w:rsid w:val="00102ACD"/>
    <w:rsid w:val="00102F43"/>
    <w:rsid w:val="00103068"/>
    <w:rsid w:val="00103583"/>
    <w:rsid w:val="00103753"/>
    <w:rsid w:val="00103B27"/>
    <w:rsid w:val="0010403E"/>
    <w:rsid w:val="00104548"/>
    <w:rsid w:val="00104B71"/>
    <w:rsid w:val="001051D1"/>
    <w:rsid w:val="001056F3"/>
    <w:rsid w:val="00105D91"/>
    <w:rsid w:val="001061DF"/>
    <w:rsid w:val="00106489"/>
    <w:rsid w:val="0010788D"/>
    <w:rsid w:val="001101D9"/>
    <w:rsid w:val="00110BE9"/>
    <w:rsid w:val="00112A74"/>
    <w:rsid w:val="00112E97"/>
    <w:rsid w:val="001130F4"/>
    <w:rsid w:val="001134BB"/>
    <w:rsid w:val="00114004"/>
    <w:rsid w:val="0011470A"/>
    <w:rsid w:val="0011477D"/>
    <w:rsid w:val="001150D9"/>
    <w:rsid w:val="00115352"/>
    <w:rsid w:val="001156BC"/>
    <w:rsid w:val="0011668B"/>
    <w:rsid w:val="00116E15"/>
    <w:rsid w:val="00116EA3"/>
    <w:rsid w:val="00117E2E"/>
    <w:rsid w:val="001202E4"/>
    <w:rsid w:val="00120353"/>
    <w:rsid w:val="001204C9"/>
    <w:rsid w:val="00121685"/>
    <w:rsid w:val="00121866"/>
    <w:rsid w:val="00122671"/>
    <w:rsid w:val="00123287"/>
    <w:rsid w:val="00123B29"/>
    <w:rsid w:val="00125470"/>
    <w:rsid w:val="00125B45"/>
    <w:rsid w:val="00125C1F"/>
    <w:rsid w:val="0012613B"/>
    <w:rsid w:val="0013124B"/>
    <w:rsid w:val="001320BF"/>
    <w:rsid w:val="001324A6"/>
    <w:rsid w:val="00132E84"/>
    <w:rsid w:val="00134463"/>
    <w:rsid w:val="001344B4"/>
    <w:rsid w:val="001347C2"/>
    <w:rsid w:val="001347DF"/>
    <w:rsid w:val="001353AF"/>
    <w:rsid w:val="001355EB"/>
    <w:rsid w:val="00135836"/>
    <w:rsid w:val="001362DB"/>
    <w:rsid w:val="00136BD7"/>
    <w:rsid w:val="00136EE5"/>
    <w:rsid w:val="0013703F"/>
    <w:rsid w:val="00137AB7"/>
    <w:rsid w:val="00140AF1"/>
    <w:rsid w:val="00140D07"/>
    <w:rsid w:val="00140E59"/>
    <w:rsid w:val="00141A39"/>
    <w:rsid w:val="00141FC2"/>
    <w:rsid w:val="00142FF9"/>
    <w:rsid w:val="001444A7"/>
    <w:rsid w:val="00144799"/>
    <w:rsid w:val="00144F54"/>
    <w:rsid w:val="001451EC"/>
    <w:rsid w:val="001459D1"/>
    <w:rsid w:val="00147AD5"/>
    <w:rsid w:val="00150A95"/>
    <w:rsid w:val="001510DD"/>
    <w:rsid w:val="0015125F"/>
    <w:rsid w:val="00151A01"/>
    <w:rsid w:val="00152598"/>
    <w:rsid w:val="0015443D"/>
    <w:rsid w:val="001545E8"/>
    <w:rsid w:val="00155047"/>
    <w:rsid w:val="00155C03"/>
    <w:rsid w:val="001574F0"/>
    <w:rsid w:val="00157CEB"/>
    <w:rsid w:val="00157EDD"/>
    <w:rsid w:val="001605AD"/>
    <w:rsid w:val="001613F0"/>
    <w:rsid w:val="00161EBC"/>
    <w:rsid w:val="00162204"/>
    <w:rsid w:val="0016260C"/>
    <w:rsid w:val="00162FEF"/>
    <w:rsid w:val="0016327A"/>
    <w:rsid w:val="00163539"/>
    <w:rsid w:val="00163BDB"/>
    <w:rsid w:val="00164F44"/>
    <w:rsid w:val="001650BD"/>
    <w:rsid w:val="0016554F"/>
    <w:rsid w:val="00165E63"/>
    <w:rsid w:val="001660F4"/>
    <w:rsid w:val="00166F04"/>
    <w:rsid w:val="00170C86"/>
    <w:rsid w:val="00171079"/>
    <w:rsid w:val="00171D59"/>
    <w:rsid w:val="00171D5B"/>
    <w:rsid w:val="00172B73"/>
    <w:rsid w:val="00173B23"/>
    <w:rsid w:val="00174ED3"/>
    <w:rsid w:val="00175BD1"/>
    <w:rsid w:val="00175F13"/>
    <w:rsid w:val="001766C8"/>
    <w:rsid w:val="001767B6"/>
    <w:rsid w:val="001771EB"/>
    <w:rsid w:val="00177349"/>
    <w:rsid w:val="001773B8"/>
    <w:rsid w:val="0018044E"/>
    <w:rsid w:val="001811E3"/>
    <w:rsid w:val="0018138B"/>
    <w:rsid w:val="0018144D"/>
    <w:rsid w:val="00181B8F"/>
    <w:rsid w:val="00181D31"/>
    <w:rsid w:val="00181FC7"/>
    <w:rsid w:val="001829AE"/>
    <w:rsid w:val="00182C20"/>
    <w:rsid w:val="00183B4B"/>
    <w:rsid w:val="00185663"/>
    <w:rsid w:val="0018573F"/>
    <w:rsid w:val="00185886"/>
    <w:rsid w:val="00185CFA"/>
    <w:rsid w:val="00186F4A"/>
    <w:rsid w:val="00187125"/>
    <w:rsid w:val="00187237"/>
    <w:rsid w:val="001878BE"/>
    <w:rsid w:val="001916CA"/>
    <w:rsid w:val="00191EE8"/>
    <w:rsid w:val="001920D8"/>
    <w:rsid w:val="0019252E"/>
    <w:rsid w:val="00192579"/>
    <w:rsid w:val="00193AA5"/>
    <w:rsid w:val="00193E9C"/>
    <w:rsid w:val="0019432A"/>
    <w:rsid w:val="00194572"/>
    <w:rsid w:val="00195651"/>
    <w:rsid w:val="001959A1"/>
    <w:rsid w:val="001968B6"/>
    <w:rsid w:val="001979E5"/>
    <w:rsid w:val="001A1C66"/>
    <w:rsid w:val="001A1E2C"/>
    <w:rsid w:val="001A2A36"/>
    <w:rsid w:val="001A3045"/>
    <w:rsid w:val="001A350E"/>
    <w:rsid w:val="001A41FC"/>
    <w:rsid w:val="001A4957"/>
    <w:rsid w:val="001A4978"/>
    <w:rsid w:val="001A546F"/>
    <w:rsid w:val="001A5C89"/>
    <w:rsid w:val="001A6541"/>
    <w:rsid w:val="001A6936"/>
    <w:rsid w:val="001A7A8E"/>
    <w:rsid w:val="001B0B12"/>
    <w:rsid w:val="001B172E"/>
    <w:rsid w:val="001B203F"/>
    <w:rsid w:val="001B31E0"/>
    <w:rsid w:val="001B36F9"/>
    <w:rsid w:val="001B374C"/>
    <w:rsid w:val="001B410D"/>
    <w:rsid w:val="001B4F04"/>
    <w:rsid w:val="001B5044"/>
    <w:rsid w:val="001B51BF"/>
    <w:rsid w:val="001B5A9B"/>
    <w:rsid w:val="001B7367"/>
    <w:rsid w:val="001B782A"/>
    <w:rsid w:val="001C05F7"/>
    <w:rsid w:val="001C06E7"/>
    <w:rsid w:val="001C1023"/>
    <w:rsid w:val="001C1889"/>
    <w:rsid w:val="001C1E96"/>
    <w:rsid w:val="001C2877"/>
    <w:rsid w:val="001C3370"/>
    <w:rsid w:val="001C4480"/>
    <w:rsid w:val="001C4A7F"/>
    <w:rsid w:val="001C4A9F"/>
    <w:rsid w:val="001C4EA7"/>
    <w:rsid w:val="001C5C85"/>
    <w:rsid w:val="001C5CFB"/>
    <w:rsid w:val="001C70BD"/>
    <w:rsid w:val="001D0150"/>
    <w:rsid w:val="001D11BA"/>
    <w:rsid w:val="001D122B"/>
    <w:rsid w:val="001D13F7"/>
    <w:rsid w:val="001D1934"/>
    <w:rsid w:val="001D34B3"/>
    <w:rsid w:val="001D356D"/>
    <w:rsid w:val="001D3B9F"/>
    <w:rsid w:val="001D3F06"/>
    <w:rsid w:val="001D4707"/>
    <w:rsid w:val="001D483B"/>
    <w:rsid w:val="001D4B7B"/>
    <w:rsid w:val="001D51AB"/>
    <w:rsid w:val="001D567A"/>
    <w:rsid w:val="001D6E61"/>
    <w:rsid w:val="001E0895"/>
    <w:rsid w:val="001E0B5D"/>
    <w:rsid w:val="001E1CD2"/>
    <w:rsid w:val="001E259D"/>
    <w:rsid w:val="001E2943"/>
    <w:rsid w:val="001E2DFA"/>
    <w:rsid w:val="001E2F0D"/>
    <w:rsid w:val="001E31B2"/>
    <w:rsid w:val="001E437B"/>
    <w:rsid w:val="001E5504"/>
    <w:rsid w:val="001E5D0B"/>
    <w:rsid w:val="001E61B8"/>
    <w:rsid w:val="001E6446"/>
    <w:rsid w:val="001E6AC7"/>
    <w:rsid w:val="001E6F03"/>
    <w:rsid w:val="001E70E6"/>
    <w:rsid w:val="001E7F05"/>
    <w:rsid w:val="001E7F10"/>
    <w:rsid w:val="001F0B1A"/>
    <w:rsid w:val="001F0BDD"/>
    <w:rsid w:val="001F14EB"/>
    <w:rsid w:val="001F19C5"/>
    <w:rsid w:val="001F2AD8"/>
    <w:rsid w:val="001F2C65"/>
    <w:rsid w:val="001F3404"/>
    <w:rsid w:val="001F3A84"/>
    <w:rsid w:val="001F4854"/>
    <w:rsid w:val="001F4F68"/>
    <w:rsid w:val="001F62AE"/>
    <w:rsid w:val="001F69D3"/>
    <w:rsid w:val="001F6AB2"/>
    <w:rsid w:val="002002EC"/>
    <w:rsid w:val="00200D38"/>
    <w:rsid w:val="00201127"/>
    <w:rsid w:val="00201717"/>
    <w:rsid w:val="002024EF"/>
    <w:rsid w:val="00202E02"/>
    <w:rsid w:val="00204176"/>
    <w:rsid w:val="00204362"/>
    <w:rsid w:val="002046C8"/>
    <w:rsid w:val="002051D7"/>
    <w:rsid w:val="002054D8"/>
    <w:rsid w:val="00205A0A"/>
    <w:rsid w:val="00205EAA"/>
    <w:rsid w:val="00207F8B"/>
    <w:rsid w:val="00210729"/>
    <w:rsid w:val="0021096D"/>
    <w:rsid w:val="00210989"/>
    <w:rsid w:val="0021137D"/>
    <w:rsid w:val="00212ED0"/>
    <w:rsid w:val="0021338E"/>
    <w:rsid w:val="0021510B"/>
    <w:rsid w:val="002162A7"/>
    <w:rsid w:val="002163CE"/>
    <w:rsid w:val="0022256E"/>
    <w:rsid w:val="00222C0D"/>
    <w:rsid w:val="0022303E"/>
    <w:rsid w:val="002232C5"/>
    <w:rsid w:val="00223DB3"/>
    <w:rsid w:val="002244B2"/>
    <w:rsid w:val="002244E4"/>
    <w:rsid w:val="00224776"/>
    <w:rsid w:val="00225A23"/>
    <w:rsid w:val="00225EC7"/>
    <w:rsid w:val="002260C3"/>
    <w:rsid w:val="00227489"/>
    <w:rsid w:val="00227D4B"/>
    <w:rsid w:val="00227E76"/>
    <w:rsid w:val="00230E57"/>
    <w:rsid w:val="00231195"/>
    <w:rsid w:val="00231918"/>
    <w:rsid w:val="002321CA"/>
    <w:rsid w:val="00234152"/>
    <w:rsid w:val="002341DD"/>
    <w:rsid w:val="00234F1A"/>
    <w:rsid w:val="002350B6"/>
    <w:rsid w:val="00235537"/>
    <w:rsid w:val="002356E9"/>
    <w:rsid w:val="00235D19"/>
    <w:rsid w:val="00236008"/>
    <w:rsid w:val="00236A9D"/>
    <w:rsid w:val="00236AE8"/>
    <w:rsid w:val="00237399"/>
    <w:rsid w:val="002375BF"/>
    <w:rsid w:val="00241273"/>
    <w:rsid w:val="00241840"/>
    <w:rsid w:val="00241D20"/>
    <w:rsid w:val="00242955"/>
    <w:rsid w:val="00242ED5"/>
    <w:rsid w:val="00242F62"/>
    <w:rsid w:val="002434BC"/>
    <w:rsid w:val="00243947"/>
    <w:rsid w:val="002447C5"/>
    <w:rsid w:val="002448CF"/>
    <w:rsid w:val="00244DFB"/>
    <w:rsid w:val="0024586C"/>
    <w:rsid w:val="002459FC"/>
    <w:rsid w:val="00245D69"/>
    <w:rsid w:val="00245E6A"/>
    <w:rsid w:val="00246B9D"/>
    <w:rsid w:val="00246C33"/>
    <w:rsid w:val="00247D33"/>
    <w:rsid w:val="00250478"/>
    <w:rsid w:val="00250629"/>
    <w:rsid w:val="00251397"/>
    <w:rsid w:val="00251DED"/>
    <w:rsid w:val="0025318A"/>
    <w:rsid w:val="00253377"/>
    <w:rsid w:val="00253411"/>
    <w:rsid w:val="00253780"/>
    <w:rsid w:val="002553E9"/>
    <w:rsid w:val="0025587A"/>
    <w:rsid w:val="00255B2D"/>
    <w:rsid w:val="00256757"/>
    <w:rsid w:val="0025718C"/>
    <w:rsid w:val="00257644"/>
    <w:rsid w:val="00257657"/>
    <w:rsid w:val="00257B6C"/>
    <w:rsid w:val="00260123"/>
    <w:rsid w:val="00260665"/>
    <w:rsid w:val="002608F0"/>
    <w:rsid w:val="0026128D"/>
    <w:rsid w:val="002625B5"/>
    <w:rsid w:val="00263CAA"/>
    <w:rsid w:val="00265071"/>
    <w:rsid w:val="00265A89"/>
    <w:rsid w:val="00265CC7"/>
    <w:rsid w:val="002662BA"/>
    <w:rsid w:val="0026635D"/>
    <w:rsid w:val="0026649F"/>
    <w:rsid w:val="002668C0"/>
    <w:rsid w:val="00266C80"/>
    <w:rsid w:val="00266E56"/>
    <w:rsid w:val="00267447"/>
    <w:rsid w:val="00267A9C"/>
    <w:rsid w:val="00267C81"/>
    <w:rsid w:val="00267F3C"/>
    <w:rsid w:val="00271066"/>
    <w:rsid w:val="00271210"/>
    <w:rsid w:val="00271789"/>
    <w:rsid w:val="002717C2"/>
    <w:rsid w:val="0027189B"/>
    <w:rsid w:val="002734FE"/>
    <w:rsid w:val="002751A3"/>
    <w:rsid w:val="0027587E"/>
    <w:rsid w:val="00275EBF"/>
    <w:rsid w:val="00276177"/>
    <w:rsid w:val="00276D2B"/>
    <w:rsid w:val="00276E50"/>
    <w:rsid w:val="00276EC7"/>
    <w:rsid w:val="002773B1"/>
    <w:rsid w:val="00277614"/>
    <w:rsid w:val="0027773E"/>
    <w:rsid w:val="002803EE"/>
    <w:rsid w:val="00280E76"/>
    <w:rsid w:val="00281578"/>
    <w:rsid w:val="00281793"/>
    <w:rsid w:val="002859A7"/>
    <w:rsid w:val="00286162"/>
    <w:rsid w:val="00286536"/>
    <w:rsid w:val="00286832"/>
    <w:rsid w:val="00287FE5"/>
    <w:rsid w:val="002901FF"/>
    <w:rsid w:val="0029066F"/>
    <w:rsid w:val="002907F8"/>
    <w:rsid w:val="00290B5C"/>
    <w:rsid w:val="00290B82"/>
    <w:rsid w:val="002919D2"/>
    <w:rsid w:val="0029238D"/>
    <w:rsid w:val="00292661"/>
    <w:rsid w:val="00293810"/>
    <w:rsid w:val="002978C9"/>
    <w:rsid w:val="002A0265"/>
    <w:rsid w:val="002A0F1E"/>
    <w:rsid w:val="002A12CC"/>
    <w:rsid w:val="002A1B65"/>
    <w:rsid w:val="002A2398"/>
    <w:rsid w:val="002A4163"/>
    <w:rsid w:val="002A654C"/>
    <w:rsid w:val="002A65FF"/>
    <w:rsid w:val="002A77B7"/>
    <w:rsid w:val="002A7E0D"/>
    <w:rsid w:val="002A7EE3"/>
    <w:rsid w:val="002B09E5"/>
    <w:rsid w:val="002B2879"/>
    <w:rsid w:val="002B30AD"/>
    <w:rsid w:val="002B3E79"/>
    <w:rsid w:val="002B40D5"/>
    <w:rsid w:val="002B4B38"/>
    <w:rsid w:val="002B5FBB"/>
    <w:rsid w:val="002B7382"/>
    <w:rsid w:val="002B739C"/>
    <w:rsid w:val="002B7918"/>
    <w:rsid w:val="002B7A45"/>
    <w:rsid w:val="002C0A9B"/>
    <w:rsid w:val="002C1263"/>
    <w:rsid w:val="002C136F"/>
    <w:rsid w:val="002C1B0C"/>
    <w:rsid w:val="002C3604"/>
    <w:rsid w:val="002C48CE"/>
    <w:rsid w:val="002C5AEB"/>
    <w:rsid w:val="002C6029"/>
    <w:rsid w:val="002C6069"/>
    <w:rsid w:val="002C6F2D"/>
    <w:rsid w:val="002C7123"/>
    <w:rsid w:val="002C76F1"/>
    <w:rsid w:val="002C77B8"/>
    <w:rsid w:val="002C7D7A"/>
    <w:rsid w:val="002D1163"/>
    <w:rsid w:val="002D200D"/>
    <w:rsid w:val="002D20DD"/>
    <w:rsid w:val="002D2298"/>
    <w:rsid w:val="002D22AD"/>
    <w:rsid w:val="002D326B"/>
    <w:rsid w:val="002D3961"/>
    <w:rsid w:val="002D3F01"/>
    <w:rsid w:val="002D5797"/>
    <w:rsid w:val="002D58B4"/>
    <w:rsid w:val="002D58D4"/>
    <w:rsid w:val="002D6164"/>
    <w:rsid w:val="002D68AD"/>
    <w:rsid w:val="002D6B8A"/>
    <w:rsid w:val="002D7C5F"/>
    <w:rsid w:val="002D7C92"/>
    <w:rsid w:val="002E0973"/>
    <w:rsid w:val="002E10F8"/>
    <w:rsid w:val="002E1EAD"/>
    <w:rsid w:val="002E2921"/>
    <w:rsid w:val="002E2B7A"/>
    <w:rsid w:val="002E56DD"/>
    <w:rsid w:val="002E5A72"/>
    <w:rsid w:val="002E6DAC"/>
    <w:rsid w:val="002E6E8A"/>
    <w:rsid w:val="002E71B5"/>
    <w:rsid w:val="002E76A1"/>
    <w:rsid w:val="002F1077"/>
    <w:rsid w:val="002F2932"/>
    <w:rsid w:val="002F2A43"/>
    <w:rsid w:val="002F2CF1"/>
    <w:rsid w:val="002F2F05"/>
    <w:rsid w:val="002F32A4"/>
    <w:rsid w:val="002F37F6"/>
    <w:rsid w:val="002F3971"/>
    <w:rsid w:val="002F3F8F"/>
    <w:rsid w:val="002F4324"/>
    <w:rsid w:val="002F534A"/>
    <w:rsid w:val="002F6751"/>
    <w:rsid w:val="002F6B63"/>
    <w:rsid w:val="002F7250"/>
    <w:rsid w:val="002F747B"/>
    <w:rsid w:val="002F7519"/>
    <w:rsid w:val="002F7845"/>
    <w:rsid w:val="002F7FB0"/>
    <w:rsid w:val="00300F97"/>
    <w:rsid w:val="0030113B"/>
    <w:rsid w:val="00302524"/>
    <w:rsid w:val="00302A60"/>
    <w:rsid w:val="00302EF2"/>
    <w:rsid w:val="0030378F"/>
    <w:rsid w:val="003039CE"/>
    <w:rsid w:val="00303BA2"/>
    <w:rsid w:val="0030408B"/>
    <w:rsid w:val="0030453C"/>
    <w:rsid w:val="00304B7C"/>
    <w:rsid w:val="00305A87"/>
    <w:rsid w:val="00305DEF"/>
    <w:rsid w:val="00306013"/>
    <w:rsid w:val="0030641F"/>
    <w:rsid w:val="0030689F"/>
    <w:rsid w:val="003068A9"/>
    <w:rsid w:val="00306A1C"/>
    <w:rsid w:val="00306D8D"/>
    <w:rsid w:val="00307A35"/>
    <w:rsid w:val="00307BB7"/>
    <w:rsid w:val="003105B2"/>
    <w:rsid w:val="0031095D"/>
    <w:rsid w:val="00310A1E"/>
    <w:rsid w:val="00310DCD"/>
    <w:rsid w:val="00311EAA"/>
    <w:rsid w:val="003124FA"/>
    <w:rsid w:val="003133BF"/>
    <w:rsid w:val="00313E5C"/>
    <w:rsid w:val="003148CD"/>
    <w:rsid w:val="00314D19"/>
    <w:rsid w:val="0031536C"/>
    <w:rsid w:val="0031581A"/>
    <w:rsid w:val="003158B0"/>
    <w:rsid w:val="0031606C"/>
    <w:rsid w:val="00316CB5"/>
    <w:rsid w:val="00316F1D"/>
    <w:rsid w:val="003206EF"/>
    <w:rsid w:val="00321B28"/>
    <w:rsid w:val="00322046"/>
    <w:rsid w:val="00323D30"/>
    <w:rsid w:val="00323F38"/>
    <w:rsid w:val="00324EBA"/>
    <w:rsid w:val="00325747"/>
    <w:rsid w:val="003271BF"/>
    <w:rsid w:val="0032780E"/>
    <w:rsid w:val="00327A20"/>
    <w:rsid w:val="00327F8A"/>
    <w:rsid w:val="00327FF3"/>
    <w:rsid w:val="00330744"/>
    <w:rsid w:val="00331445"/>
    <w:rsid w:val="00332076"/>
    <w:rsid w:val="00333DD4"/>
    <w:rsid w:val="0033430F"/>
    <w:rsid w:val="003345E4"/>
    <w:rsid w:val="00334879"/>
    <w:rsid w:val="00335FFF"/>
    <w:rsid w:val="003366EE"/>
    <w:rsid w:val="00336CFC"/>
    <w:rsid w:val="00336E15"/>
    <w:rsid w:val="003372F6"/>
    <w:rsid w:val="003403CC"/>
    <w:rsid w:val="00340A63"/>
    <w:rsid w:val="00341261"/>
    <w:rsid w:val="00342794"/>
    <w:rsid w:val="00343D21"/>
    <w:rsid w:val="00344273"/>
    <w:rsid w:val="0034454C"/>
    <w:rsid w:val="0034473A"/>
    <w:rsid w:val="003462DC"/>
    <w:rsid w:val="003463F9"/>
    <w:rsid w:val="00346B8B"/>
    <w:rsid w:val="00347244"/>
    <w:rsid w:val="0034724A"/>
    <w:rsid w:val="003475CA"/>
    <w:rsid w:val="0035022E"/>
    <w:rsid w:val="00350507"/>
    <w:rsid w:val="00350670"/>
    <w:rsid w:val="00350E2E"/>
    <w:rsid w:val="00351CFE"/>
    <w:rsid w:val="00352561"/>
    <w:rsid w:val="00353B52"/>
    <w:rsid w:val="00353F7D"/>
    <w:rsid w:val="00354033"/>
    <w:rsid w:val="00355EFF"/>
    <w:rsid w:val="00356122"/>
    <w:rsid w:val="003567A2"/>
    <w:rsid w:val="0035774F"/>
    <w:rsid w:val="003620F9"/>
    <w:rsid w:val="00363957"/>
    <w:rsid w:val="00363BAB"/>
    <w:rsid w:val="00364BE4"/>
    <w:rsid w:val="00364C01"/>
    <w:rsid w:val="00365FB7"/>
    <w:rsid w:val="00367706"/>
    <w:rsid w:val="00367833"/>
    <w:rsid w:val="00367B44"/>
    <w:rsid w:val="00371256"/>
    <w:rsid w:val="00372C3C"/>
    <w:rsid w:val="00373E4F"/>
    <w:rsid w:val="00374784"/>
    <w:rsid w:val="00375186"/>
    <w:rsid w:val="00375C3F"/>
    <w:rsid w:val="00375C83"/>
    <w:rsid w:val="00376010"/>
    <w:rsid w:val="00376284"/>
    <w:rsid w:val="00377902"/>
    <w:rsid w:val="0038265E"/>
    <w:rsid w:val="00382972"/>
    <w:rsid w:val="00383125"/>
    <w:rsid w:val="00383178"/>
    <w:rsid w:val="003833A4"/>
    <w:rsid w:val="003834EB"/>
    <w:rsid w:val="00384017"/>
    <w:rsid w:val="0038404E"/>
    <w:rsid w:val="0038409E"/>
    <w:rsid w:val="00384770"/>
    <w:rsid w:val="00384E96"/>
    <w:rsid w:val="00385083"/>
    <w:rsid w:val="00386485"/>
    <w:rsid w:val="00386FB9"/>
    <w:rsid w:val="003877EE"/>
    <w:rsid w:val="003877F3"/>
    <w:rsid w:val="00387F66"/>
    <w:rsid w:val="00390A35"/>
    <w:rsid w:val="00391589"/>
    <w:rsid w:val="003916C3"/>
    <w:rsid w:val="0039191F"/>
    <w:rsid w:val="00391931"/>
    <w:rsid w:val="00392862"/>
    <w:rsid w:val="00393ED2"/>
    <w:rsid w:val="00393F22"/>
    <w:rsid w:val="0039528B"/>
    <w:rsid w:val="003959B8"/>
    <w:rsid w:val="00396D7A"/>
    <w:rsid w:val="003A0B72"/>
    <w:rsid w:val="003A1162"/>
    <w:rsid w:val="003A18F0"/>
    <w:rsid w:val="003A239B"/>
    <w:rsid w:val="003A23B4"/>
    <w:rsid w:val="003A24F1"/>
    <w:rsid w:val="003A3AA5"/>
    <w:rsid w:val="003A48AD"/>
    <w:rsid w:val="003A4C4C"/>
    <w:rsid w:val="003A54AC"/>
    <w:rsid w:val="003A5812"/>
    <w:rsid w:val="003A6CDA"/>
    <w:rsid w:val="003A7065"/>
    <w:rsid w:val="003A7F42"/>
    <w:rsid w:val="003B0BD2"/>
    <w:rsid w:val="003B1716"/>
    <w:rsid w:val="003B1A43"/>
    <w:rsid w:val="003B3D43"/>
    <w:rsid w:val="003B472D"/>
    <w:rsid w:val="003B495A"/>
    <w:rsid w:val="003B5748"/>
    <w:rsid w:val="003B5C00"/>
    <w:rsid w:val="003B6C96"/>
    <w:rsid w:val="003B7356"/>
    <w:rsid w:val="003B735E"/>
    <w:rsid w:val="003B7F0C"/>
    <w:rsid w:val="003B7FE5"/>
    <w:rsid w:val="003C078B"/>
    <w:rsid w:val="003C35BE"/>
    <w:rsid w:val="003C4015"/>
    <w:rsid w:val="003C4F9D"/>
    <w:rsid w:val="003C6099"/>
    <w:rsid w:val="003C631D"/>
    <w:rsid w:val="003C6A66"/>
    <w:rsid w:val="003C7322"/>
    <w:rsid w:val="003C7B28"/>
    <w:rsid w:val="003D00EA"/>
    <w:rsid w:val="003D018C"/>
    <w:rsid w:val="003D0F87"/>
    <w:rsid w:val="003D162A"/>
    <w:rsid w:val="003D222D"/>
    <w:rsid w:val="003D24B6"/>
    <w:rsid w:val="003D2DA7"/>
    <w:rsid w:val="003D3B04"/>
    <w:rsid w:val="003D4CA3"/>
    <w:rsid w:val="003D4CD8"/>
    <w:rsid w:val="003D56FA"/>
    <w:rsid w:val="003D5DB7"/>
    <w:rsid w:val="003D724E"/>
    <w:rsid w:val="003E0827"/>
    <w:rsid w:val="003E1250"/>
    <w:rsid w:val="003E133E"/>
    <w:rsid w:val="003E181A"/>
    <w:rsid w:val="003E208D"/>
    <w:rsid w:val="003E2B94"/>
    <w:rsid w:val="003E31BE"/>
    <w:rsid w:val="003E476D"/>
    <w:rsid w:val="003E4877"/>
    <w:rsid w:val="003E487F"/>
    <w:rsid w:val="003E5142"/>
    <w:rsid w:val="003E52CF"/>
    <w:rsid w:val="003E5F8F"/>
    <w:rsid w:val="003E650B"/>
    <w:rsid w:val="003E6594"/>
    <w:rsid w:val="003E6CC9"/>
    <w:rsid w:val="003E6E6E"/>
    <w:rsid w:val="003E762D"/>
    <w:rsid w:val="003E7637"/>
    <w:rsid w:val="003E7FD0"/>
    <w:rsid w:val="003F2F8E"/>
    <w:rsid w:val="003F45CC"/>
    <w:rsid w:val="003F4EF5"/>
    <w:rsid w:val="003F6C1F"/>
    <w:rsid w:val="003F754B"/>
    <w:rsid w:val="003F7F16"/>
    <w:rsid w:val="00400A42"/>
    <w:rsid w:val="00400D7A"/>
    <w:rsid w:val="00401115"/>
    <w:rsid w:val="0040158E"/>
    <w:rsid w:val="004018E8"/>
    <w:rsid w:val="00401B63"/>
    <w:rsid w:val="004024E1"/>
    <w:rsid w:val="004025F4"/>
    <w:rsid w:val="00405467"/>
    <w:rsid w:val="00405889"/>
    <w:rsid w:val="004061FD"/>
    <w:rsid w:val="00406C73"/>
    <w:rsid w:val="0040734A"/>
    <w:rsid w:val="00407839"/>
    <w:rsid w:val="00407907"/>
    <w:rsid w:val="0041131A"/>
    <w:rsid w:val="004121CD"/>
    <w:rsid w:val="0041301F"/>
    <w:rsid w:val="00414841"/>
    <w:rsid w:val="00414BCD"/>
    <w:rsid w:val="004155B2"/>
    <w:rsid w:val="004159D6"/>
    <w:rsid w:val="0041649F"/>
    <w:rsid w:val="00416C6A"/>
    <w:rsid w:val="004172B4"/>
    <w:rsid w:val="004172E8"/>
    <w:rsid w:val="004178DD"/>
    <w:rsid w:val="0042013D"/>
    <w:rsid w:val="00420E78"/>
    <w:rsid w:val="004225E7"/>
    <w:rsid w:val="00422B88"/>
    <w:rsid w:val="00423B5D"/>
    <w:rsid w:val="004244A6"/>
    <w:rsid w:val="00424803"/>
    <w:rsid w:val="00424D4A"/>
    <w:rsid w:val="00424EF7"/>
    <w:rsid w:val="00425037"/>
    <w:rsid w:val="00425592"/>
    <w:rsid w:val="00426C08"/>
    <w:rsid w:val="00426C2F"/>
    <w:rsid w:val="004270CB"/>
    <w:rsid w:val="00430C45"/>
    <w:rsid w:val="0043255A"/>
    <w:rsid w:val="00433CB6"/>
    <w:rsid w:val="00433D1E"/>
    <w:rsid w:val="0043423E"/>
    <w:rsid w:val="004368B7"/>
    <w:rsid w:val="0043707F"/>
    <w:rsid w:val="0043764F"/>
    <w:rsid w:val="00437946"/>
    <w:rsid w:val="004405CE"/>
    <w:rsid w:val="004407EB"/>
    <w:rsid w:val="00440BA9"/>
    <w:rsid w:val="00442444"/>
    <w:rsid w:val="0044255A"/>
    <w:rsid w:val="0044391E"/>
    <w:rsid w:val="00443BAF"/>
    <w:rsid w:val="00443F39"/>
    <w:rsid w:val="00444395"/>
    <w:rsid w:val="004449AB"/>
    <w:rsid w:val="00444C3B"/>
    <w:rsid w:val="00446AEA"/>
    <w:rsid w:val="00446FA2"/>
    <w:rsid w:val="004477E5"/>
    <w:rsid w:val="00447EE1"/>
    <w:rsid w:val="00450C19"/>
    <w:rsid w:val="00451444"/>
    <w:rsid w:val="004517C0"/>
    <w:rsid w:val="004529E2"/>
    <w:rsid w:val="00454DC8"/>
    <w:rsid w:val="00455FC1"/>
    <w:rsid w:val="004562B0"/>
    <w:rsid w:val="0045646D"/>
    <w:rsid w:val="0045650F"/>
    <w:rsid w:val="004567DD"/>
    <w:rsid w:val="00456EE8"/>
    <w:rsid w:val="00457553"/>
    <w:rsid w:val="00457DB0"/>
    <w:rsid w:val="00457DB5"/>
    <w:rsid w:val="00460480"/>
    <w:rsid w:val="00460792"/>
    <w:rsid w:val="0046170C"/>
    <w:rsid w:val="004642DE"/>
    <w:rsid w:val="00465312"/>
    <w:rsid w:val="00465AAA"/>
    <w:rsid w:val="0046686F"/>
    <w:rsid w:val="00466978"/>
    <w:rsid w:val="004669E4"/>
    <w:rsid w:val="00466C90"/>
    <w:rsid w:val="00466D96"/>
    <w:rsid w:val="004670F3"/>
    <w:rsid w:val="00467281"/>
    <w:rsid w:val="0046785F"/>
    <w:rsid w:val="0046790F"/>
    <w:rsid w:val="00470530"/>
    <w:rsid w:val="00470993"/>
    <w:rsid w:val="00471456"/>
    <w:rsid w:val="004717A3"/>
    <w:rsid w:val="00471A11"/>
    <w:rsid w:val="0047203A"/>
    <w:rsid w:val="00472532"/>
    <w:rsid w:val="00475460"/>
    <w:rsid w:val="00475F79"/>
    <w:rsid w:val="0047613D"/>
    <w:rsid w:val="0047626C"/>
    <w:rsid w:val="00477FAD"/>
    <w:rsid w:val="00480978"/>
    <w:rsid w:val="00481DF8"/>
    <w:rsid w:val="004825E7"/>
    <w:rsid w:val="00482FC3"/>
    <w:rsid w:val="004831E3"/>
    <w:rsid w:val="004836B5"/>
    <w:rsid w:val="00484942"/>
    <w:rsid w:val="00484D70"/>
    <w:rsid w:val="00485179"/>
    <w:rsid w:val="0048569B"/>
    <w:rsid w:val="00486FCF"/>
    <w:rsid w:val="00487010"/>
    <w:rsid w:val="004874FD"/>
    <w:rsid w:val="004912CD"/>
    <w:rsid w:val="00491C88"/>
    <w:rsid w:val="00492A7C"/>
    <w:rsid w:val="0049337B"/>
    <w:rsid w:val="0049361C"/>
    <w:rsid w:val="004937E9"/>
    <w:rsid w:val="00493972"/>
    <w:rsid w:val="004946D7"/>
    <w:rsid w:val="00496086"/>
    <w:rsid w:val="00496D26"/>
    <w:rsid w:val="00496E7D"/>
    <w:rsid w:val="004A0046"/>
    <w:rsid w:val="004A023B"/>
    <w:rsid w:val="004A08D3"/>
    <w:rsid w:val="004A0A01"/>
    <w:rsid w:val="004A1E54"/>
    <w:rsid w:val="004A34BB"/>
    <w:rsid w:val="004A3DB3"/>
    <w:rsid w:val="004A3DFA"/>
    <w:rsid w:val="004A425E"/>
    <w:rsid w:val="004A574B"/>
    <w:rsid w:val="004A5E06"/>
    <w:rsid w:val="004A5E52"/>
    <w:rsid w:val="004A6107"/>
    <w:rsid w:val="004A6189"/>
    <w:rsid w:val="004A64FD"/>
    <w:rsid w:val="004A6E08"/>
    <w:rsid w:val="004A7073"/>
    <w:rsid w:val="004B0A52"/>
    <w:rsid w:val="004B23C9"/>
    <w:rsid w:val="004B4FFE"/>
    <w:rsid w:val="004B55C4"/>
    <w:rsid w:val="004B66D3"/>
    <w:rsid w:val="004B6DD4"/>
    <w:rsid w:val="004C0989"/>
    <w:rsid w:val="004C0E61"/>
    <w:rsid w:val="004C15E1"/>
    <w:rsid w:val="004C24FC"/>
    <w:rsid w:val="004C2830"/>
    <w:rsid w:val="004C3441"/>
    <w:rsid w:val="004C4C32"/>
    <w:rsid w:val="004C56A5"/>
    <w:rsid w:val="004C5C3E"/>
    <w:rsid w:val="004C5E0F"/>
    <w:rsid w:val="004C651F"/>
    <w:rsid w:val="004C65F4"/>
    <w:rsid w:val="004C6B58"/>
    <w:rsid w:val="004C6D56"/>
    <w:rsid w:val="004C77DE"/>
    <w:rsid w:val="004C7B6C"/>
    <w:rsid w:val="004D00D1"/>
    <w:rsid w:val="004D0790"/>
    <w:rsid w:val="004D0853"/>
    <w:rsid w:val="004D0B1E"/>
    <w:rsid w:val="004D188B"/>
    <w:rsid w:val="004D1AA0"/>
    <w:rsid w:val="004D1AB3"/>
    <w:rsid w:val="004D1D27"/>
    <w:rsid w:val="004D2150"/>
    <w:rsid w:val="004D222E"/>
    <w:rsid w:val="004D229C"/>
    <w:rsid w:val="004D331F"/>
    <w:rsid w:val="004D3764"/>
    <w:rsid w:val="004D3ED2"/>
    <w:rsid w:val="004D4E96"/>
    <w:rsid w:val="004D7EB8"/>
    <w:rsid w:val="004E1101"/>
    <w:rsid w:val="004E1733"/>
    <w:rsid w:val="004E24F6"/>
    <w:rsid w:val="004E29E5"/>
    <w:rsid w:val="004E2F83"/>
    <w:rsid w:val="004E34E8"/>
    <w:rsid w:val="004E3A7A"/>
    <w:rsid w:val="004E43B8"/>
    <w:rsid w:val="004E4573"/>
    <w:rsid w:val="004E45F4"/>
    <w:rsid w:val="004E4AD2"/>
    <w:rsid w:val="004E4F7A"/>
    <w:rsid w:val="004E64EC"/>
    <w:rsid w:val="004E698B"/>
    <w:rsid w:val="004E6B74"/>
    <w:rsid w:val="004E73D9"/>
    <w:rsid w:val="004F0548"/>
    <w:rsid w:val="004F0B74"/>
    <w:rsid w:val="004F0D7A"/>
    <w:rsid w:val="004F1D55"/>
    <w:rsid w:val="004F1EB8"/>
    <w:rsid w:val="004F1F5E"/>
    <w:rsid w:val="004F2562"/>
    <w:rsid w:val="004F2C76"/>
    <w:rsid w:val="004F2DFE"/>
    <w:rsid w:val="004F350F"/>
    <w:rsid w:val="004F4104"/>
    <w:rsid w:val="004F5171"/>
    <w:rsid w:val="004F534B"/>
    <w:rsid w:val="004F6E43"/>
    <w:rsid w:val="004F6EDD"/>
    <w:rsid w:val="004F7B4F"/>
    <w:rsid w:val="005013E2"/>
    <w:rsid w:val="0050169A"/>
    <w:rsid w:val="00501F34"/>
    <w:rsid w:val="0050218A"/>
    <w:rsid w:val="0050225F"/>
    <w:rsid w:val="005030D9"/>
    <w:rsid w:val="00503FC5"/>
    <w:rsid w:val="0050470E"/>
    <w:rsid w:val="00505105"/>
    <w:rsid w:val="005052DD"/>
    <w:rsid w:val="00505870"/>
    <w:rsid w:val="005073BF"/>
    <w:rsid w:val="00511953"/>
    <w:rsid w:val="00514744"/>
    <w:rsid w:val="005149CE"/>
    <w:rsid w:val="00514F6B"/>
    <w:rsid w:val="005152C1"/>
    <w:rsid w:val="005153B1"/>
    <w:rsid w:val="00515EF5"/>
    <w:rsid w:val="0052029E"/>
    <w:rsid w:val="0052078D"/>
    <w:rsid w:val="00520B9A"/>
    <w:rsid w:val="00520C4C"/>
    <w:rsid w:val="005210B0"/>
    <w:rsid w:val="0052112B"/>
    <w:rsid w:val="00521E98"/>
    <w:rsid w:val="00522E3A"/>
    <w:rsid w:val="00522EDC"/>
    <w:rsid w:val="00523BF4"/>
    <w:rsid w:val="00523F52"/>
    <w:rsid w:val="00524215"/>
    <w:rsid w:val="00524379"/>
    <w:rsid w:val="00524686"/>
    <w:rsid w:val="00524D4D"/>
    <w:rsid w:val="00524FA4"/>
    <w:rsid w:val="00524FF7"/>
    <w:rsid w:val="0052521E"/>
    <w:rsid w:val="00525CEF"/>
    <w:rsid w:val="00525EF2"/>
    <w:rsid w:val="00526493"/>
    <w:rsid w:val="005264D7"/>
    <w:rsid w:val="00527819"/>
    <w:rsid w:val="00527B19"/>
    <w:rsid w:val="00527E3D"/>
    <w:rsid w:val="00527EFE"/>
    <w:rsid w:val="005303BD"/>
    <w:rsid w:val="005304B2"/>
    <w:rsid w:val="005312B2"/>
    <w:rsid w:val="00533FB5"/>
    <w:rsid w:val="00534278"/>
    <w:rsid w:val="0053481C"/>
    <w:rsid w:val="00535049"/>
    <w:rsid w:val="00535EF9"/>
    <w:rsid w:val="00536A75"/>
    <w:rsid w:val="00536B03"/>
    <w:rsid w:val="00537126"/>
    <w:rsid w:val="0053767A"/>
    <w:rsid w:val="00537B2E"/>
    <w:rsid w:val="005402D0"/>
    <w:rsid w:val="00540879"/>
    <w:rsid w:val="00540B72"/>
    <w:rsid w:val="00542BFB"/>
    <w:rsid w:val="00542CEF"/>
    <w:rsid w:val="005435CA"/>
    <w:rsid w:val="00544362"/>
    <w:rsid w:val="00544588"/>
    <w:rsid w:val="00545276"/>
    <w:rsid w:val="0054663F"/>
    <w:rsid w:val="005466C5"/>
    <w:rsid w:val="00547343"/>
    <w:rsid w:val="00547441"/>
    <w:rsid w:val="00547811"/>
    <w:rsid w:val="00547C4E"/>
    <w:rsid w:val="00550A4E"/>
    <w:rsid w:val="00550E3D"/>
    <w:rsid w:val="00551056"/>
    <w:rsid w:val="0055263A"/>
    <w:rsid w:val="00553818"/>
    <w:rsid w:val="00554021"/>
    <w:rsid w:val="00555886"/>
    <w:rsid w:val="00560995"/>
    <w:rsid w:val="005618C7"/>
    <w:rsid w:val="005621F7"/>
    <w:rsid w:val="0056289D"/>
    <w:rsid w:val="00564231"/>
    <w:rsid w:val="00564576"/>
    <w:rsid w:val="00565101"/>
    <w:rsid w:val="0056694C"/>
    <w:rsid w:val="00570E5D"/>
    <w:rsid w:val="005717A0"/>
    <w:rsid w:val="0057245E"/>
    <w:rsid w:val="00572FB0"/>
    <w:rsid w:val="0057331D"/>
    <w:rsid w:val="00573362"/>
    <w:rsid w:val="00574FEF"/>
    <w:rsid w:val="00576DE3"/>
    <w:rsid w:val="00576E2A"/>
    <w:rsid w:val="00577901"/>
    <w:rsid w:val="00577B84"/>
    <w:rsid w:val="00577C21"/>
    <w:rsid w:val="0058002B"/>
    <w:rsid w:val="00580458"/>
    <w:rsid w:val="0058089C"/>
    <w:rsid w:val="00580921"/>
    <w:rsid w:val="00581552"/>
    <w:rsid w:val="00582332"/>
    <w:rsid w:val="00584172"/>
    <w:rsid w:val="00584237"/>
    <w:rsid w:val="005845C7"/>
    <w:rsid w:val="00586536"/>
    <w:rsid w:val="00590446"/>
    <w:rsid w:val="00591B33"/>
    <w:rsid w:val="00591EE6"/>
    <w:rsid w:val="00591F67"/>
    <w:rsid w:val="005927A1"/>
    <w:rsid w:val="0059316E"/>
    <w:rsid w:val="005931B5"/>
    <w:rsid w:val="0059330B"/>
    <w:rsid w:val="0059337C"/>
    <w:rsid w:val="00594F2A"/>
    <w:rsid w:val="00595CEC"/>
    <w:rsid w:val="00595E0C"/>
    <w:rsid w:val="0059620D"/>
    <w:rsid w:val="005A1574"/>
    <w:rsid w:val="005A17EA"/>
    <w:rsid w:val="005A1CBF"/>
    <w:rsid w:val="005A2D03"/>
    <w:rsid w:val="005A2EB4"/>
    <w:rsid w:val="005A3154"/>
    <w:rsid w:val="005A3156"/>
    <w:rsid w:val="005A3F11"/>
    <w:rsid w:val="005A4458"/>
    <w:rsid w:val="005A452C"/>
    <w:rsid w:val="005A4B3F"/>
    <w:rsid w:val="005A52B5"/>
    <w:rsid w:val="005A55CA"/>
    <w:rsid w:val="005A5E41"/>
    <w:rsid w:val="005A705A"/>
    <w:rsid w:val="005B0612"/>
    <w:rsid w:val="005B0AC6"/>
    <w:rsid w:val="005B1307"/>
    <w:rsid w:val="005B1310"/>
    <w:rsid w:val="005B2E46"/>
    <w:rsid w:val="005B2F38"/>
    <w:rsid w:val="005B4BF7"/>
    <w:rsid w:val="005B4D04"/>
    <w:rsid w:val="005B5381"/>
    <w:rsid w:val="005B5440"/>
    <w:rsid w:val="005B5C3D"/>
    <w:rsid w:val="005B63E5"/>
    <w:rsid w:val="005B65EB"/>
    <w:rsid w:val="005B765E"/>
    <w:rsid w:val="005C02D3"/>
    <w:rsid w:val="005C051A"/>
    <w:rsid w:val="005C0645"/>
    <w:rsid w:val="005C0E91"/>
    <w:rsid w:val="005C1E9F"/>
    <w:rsid w:val="005C390C"/>
    <w:rsid w:val="005C3E44"/>
    <w:rsid w:val="005C4D0A"/>
    <w:rsid w:val="005C562B"/>
    <w:rsid w:val="005C63FB"/>
    <w:rsid w:val="005C76CF"/>
    <w:rsid w:val="005C78E3"/>
    <w:rsid w:val="005D01D2"/>
    <w:rsid w:val="005D03B8"/>
    <w:rsid w:val="005D08AF"/>
    <w:rsid w:val="005D1940"/>
    <w:rsid w:val="005D2C79"/>
    <w:rsid w:val="005D2F35"/>
    <w:rsid w:val="005D330F"/>
    <w:rsid w:val="005D4BC8"/>
    <w:rsid w:val="005D5BDE"/>
    <w:rsid w:val="005D6950"/>
    <w:rsid w:val="005D7C4F"/>
    <w:rsid w:val="005D7E67"/>
    <w:rsid w:val="005E0686"/>
    <w:rsid w:val="005E08DC"/>
    <w:rsid w:val="005E0C28"/>
    <w:rsid w:val="005E24EB"/>
    <w:rsid w:val="005E2980"/>
    <w:rsid w:val="005E2983"/>
    <w:rsid w:val="005E34D3"/>
    <w:rsid w:val="005E39D6"/>
    <w:rsid w:val="005E3DE5"/>
    <w:rsid w:val="005E3FCF"/>
    <w:rsid w:val="005E4D7F"/>
    <w:rsid w:val="005E50EF"/>
    <w:rsid w:val="005E599B"/>
    <w:rsid w:val="005E5AEE"/>
    <w:rsid w:val="005E5C6A"/>
    <w:rsid w:val="005E6032"/>
    <w:rsid w:val="005E705D"/>
    <w:rsid w:val="005E79F0"/>
    <w:rsid w:val="005F01A8"/>
    <w:rsid w:val="005F1D26"/>
    <w:rsid w:val="005F1F94"/>
    <w:rsid w:val="005F24B1"/>
    <w:rsid w:val="005F5A72"/>
    <w:rsid w:val="005F5CD6"/>
    <w:rsid w:val="005F5DE1"/>
    <w:rsid w:val="005F6A68"/>
    <w:rsid w:val="005F790B"/>
    <w:rsid w:val="005F7F48"/>
    <w:rsid w:val="006019F6"/>
    <w:rsid w:val="00602220"/>
    <w:rsid w:val="00602526"/>
    <w:rsid w:val="00603306"/>
    <w:rsid w:val="00603553"/>
    <w:rsid w:val="00603B45"/>
    <w:rsid w:val="00604DAD"/>
    <w:rsid w:val="00605930"/>
    <w:rsid w:val="0060601E"/>
    <w:rsid w:val="00606AFF"/>
    <w:rsid w:val="00606C6D"/>
    <w:rsid w:val="00607998"/>
    <w:rsid w:val="00607CFA"/>
    <w:rsid w:val="006100E6"/>
    <w:rsid w:val="00610AE9"/>
    <w:rsid w:val="00610C2E"/>
    <w:rsid w:val="006116AA"/>
    <w:rsid w:val="00611823"/>
    <w:rsid w:val="00612E43"/>
    <w:rsid w:val="00613E26"/>
    <w:rsid w:val="0061471F"/>
    <w:rsid w:val="00616768"/>
    <w:rsid w:val="0061685C"/>
    <w:rsid w:val="00616DDA"/>
    <w:rsid w:val="006175DA"/>
    <w:rsid w:val="00617897"/>
    <w:rsid w:val="00620417"/>
    <w:rsid w:val="006208F0"/>
    <w:rsid w:val="00621A38"/>
    <w:rsid w:val="00623C98"/>
    <w:rsid w:val="00623E23"/>
    <w:rsid w:val="006241E5"/>
    <w:rsid w:val="006242C6"/>
    <w:rsid w:val="00625477"/>
    <w:rsid w:val="0062559B"/>
    <w:rsid w:val="00625BD4"/>
    <w:rsid w:val="00626AB0"/>
    <w:rsid w:val="00626E6B"/>
    <w:rsid w:val="00630C41"/>
    <w:rsid w:val="00630F8A"/>
    <w:rsid w:val="00631578"/>
    <w:rsid w:val="00631FFE"/>
    <w:rsid w:val="006321E0"/>
    <w:rsid w:val="00632CAD"/>
    <w:rsid w:val="00632F45"/>
    <w:rsid w:val="0063334C"/>
    <w:rsid w:val="00635357"/>
    <w:rsid w:val="00635F72"/>
    <w:rsid w:val="0063648F"/>
    <w:rsid w:val="006374F5"/>
    <w:rsid w:val="00637991"/>
    <w:rsid w:val="00637C1F"/>
    <w:rsid w:val="00637E99"/>
    <w:rsid w:val="0064022E"/>
    <w:rsid w:val="00640EDC"/>
    <w:rsid w:val="00641A99"/>
    <w:rsid w:val="00642122"/>
    <w:rsid w:val="00642675"/>
    <w:rsid w:val="00642752"/>
    <w:rsid w:val="00642903"/>
    <w:rsid w:val="00643662"/>
    <w:rsid w:val="00643EA9"/>
    <w:rsid w:val="00644637"/>
    <w:rsid w:val="00644AB6"/>
    <w:rsid w:val="006452E4"/>
    <w:rsid w:val="00645B3A"/>
    <w:rsid w:val="00645DA7"/>
    <w:rsid w:val="00646315"/>
    <w:rsid w:val="00647A8C"/>
    <w:rsid w:val="006519F9"/>
    <w:rsid w:val="00651BF8"/>
    <w:rsid w:val="00652332"/>
    <w:rsid w:val="00652CC9"/>
    <w:rsid w:val="00656451"/>
    <w:rsid w:val="00656494"/>
    <w:rsid w:val="0065761E"/>
    <w:rsid w:val="006579E6"/>
    <w:rsid w:val="00660F20"/>
    <w:rsid w:val="006624DB"/>
    <w:rsid w:val="00664191"/>
    <w:rsid w:val="006643AE"/>
    <w:rsid w:val="00664E6D"/>
    <w:rsid w:val="00666374"/>
    <w:rsid w:val="00671299"/>
    <w:rsid w:val="006716E1"/>
    <w:rsid w:val="00671F2F"/>
    <w:rsid w:val="00673E05"/>
    <w:rsid w:val="00675AFB"/>
    <w:rsid w:val="00675C77"/>
    <w:rsid w:val="0067716A"/>
    <w:rsid w:val="00677528"/>
    <w:rsid w:val="0068068E"/>
    <w:rsid w:val="006810FB"/>
    <w:rsid w:val="00681DC6"/>
    <w:rsid w:val="006833FD"/>
    <w:rsid w:val="00683FED"/>
    <w:rsid w:val="0068438F"/>
    <w:rsid w:val="00684AD5"/>
    <w:rsid w:val="00685371"/>
    <w:rsid w:val="0068559B"/>
    <w:rsid w:val="0068673C"/>
    <w:rsid w:val="00686E47"/>
    <w:rsid w:val="0068780C"/>
    <w:rsid w:val="006900D0"/>
    <w:rsid w:val="00690E1D"/>
    <w:rsid w:val="00691202"/>
    <w:rsid w:val="00691683"/>
    <w:rsid w:val="0069277F"/>
    <w:rsid w:val="00692828"/>
    <w:rsid w:val="00692B0F"/>
    <w:rsid w:val="00693069"/>
    <w:rsid w:val="00693CDE"/>
    <w:rsid w:val="006943C2"/>
    <w:rsid w:val="006949BB"/>
    <w:rsid w:val="00694DE3"/>
    <w:rsid w:val="006953C6"/>
    <w:rsid w:val="00695CB0"/>
    <w:rsid w:val="00695EFB"/>
    <w:rsid w:val="00695F13"/>
    <w:rsid w:val="006976E2"/>
    <w:rsid w:val="00697FC0"/>
    <w:rsid w:val="006A219F"/>
    <w:rsid w:val="006A26BB"/>
    <w:rsid w:val="006A32E7"/>
    <w:rsid w:val="006A3C5E"/>
    <w:rsid w:val="006A4771"/>
    <w:rsid w:val="006A4C67"/>
    <w:rsid w:val="006A5780"/>
    <w:rsid w:val="006A59F2"/>
    <w:rsid w:val="006A7369"/>
    <w:rsid w:val="006B03A1"/>
    <w:rsid w:val="006B0B76"/>
    <w:rsid w:val="006B272C"/>
    <w:rsid w:val="006B419D"/>
    <w:rsid w:val="006B42A7"/>
    <w:rsid w:val="006B5256"/>
    <w:rsid w:val="006B6181"/>
    <w:rsid w:val="006B6FBF"/>
    <w:rsid w:val="006B738E"/>
    <w:rsid w:val="006B7FCF"/>
    <w:rsid w:val="006C0721"/>
    <w:rsid w:val="006C0A5A"/>
    <w:rsid w:val="006C0B84"/>
    <w:rsid w:val="006C0F66"/>
    <w:rsid w:val="006C0FD5"/>
    <w:rsid w:val="006C1AF1"/>
    <w:rsid w:val="006C3513"/>
    <w:rsid w:val="006C370D"/>
    <w:rsid w:val="006C3738"/>
    <w:rsid w:val="006C5766"/>
    <w:rsid w:val="006C751A"/>
    <w:rsid w:val="006D0F59"/>
    <w:rsid w:val="006D1092"/>
    <w:rsid w:val="006D1282"/>
    <w:rsid w:val="006D1F4E"/>
    <w:rsid w:val="006D28A3"/>
    <w:rsid w:val="006D298A"/>
    <w:rsid w:val="006D3438"/>
    <w:rsid w:val="006D380E"/>
    <w:rsid w:val="006D3B0C"/>
    <w:rsid w:val="006D4283"/>
    <w:rsid w:val="006D5E10"/>
    <w:rsid w:val="006D77C1"/>
    <w:rsid w:val="006D7A06"/>
    <w:rsid w:val="006E0A27"/>
    <w:rsid w:val="006E107E"/>
    <w:rsid w:val="006E1436"/>
    <w:rsid w:val="006E15C5"/>
    <w:rsid w:val="006E2243"/>
    <w:rsid w:val="006E2530"/>
    <w:rsid w:val="006E25CB"/>
    <w:rsid w:val="006E2A99"/>
    <w:rsid w:val="006E2B03"/>
    <w:rsid w:val="006E2EBF"/>
    <w:rsid w:val="006E2FC1"/>
    <w:rsid w:val="006E49A0"/>
    <w:rsid w:val="006E4E77"/>
    <w:rsid w:val="006E52C0"/>
    <w:rsid w:val="006E5670"/>
    <w:rsid w:val="006E5975"/>
    <w:rsid w:val="006E62E8"/>
    <w:rsid w:val="006E632B"/>
    <w:rsid w:val="006E637A"/>
    <w:rsid w:val="006E6473"/>
    <w:rsid w:val="006E6DD6"/>
    <w:rsid w:val="006E707F"/>
    <w:rsid w:val="006E75FE"/>
    <w:rsid w:val="006E7638"/>
    <w:rsid w:val="006E7F9A"/>
    <w:rsid w:val="006F0640"/>
    <w:rsid w:val="006F0DB3"/>
    <w:rsid w:val="006F164E"/>
    <w:rsid w:val="006F2CB5"/>
    <w:rsid w:val="006F3F5B"/>
    <w:rsid w:val="006F412E"/>
    <w:rsid w:val="006F4C03"/>
    <w:rsid w:val="006F4CA0"/>
    <w:rsid w:val="006F4D31"/>
    <w:rsid w:val="006F533A"/>
    <w:rsid w:val="006F666A"/>
    <w:rsid w:val="006F66EB"/>
    <w:rsid w:val="006F6B00"/>
    <w:rsid w:val="006F78F5"/>
    <w:rsid w:val="007019A4"/>
    <w:rsid w:val="00702C25"/>
    <w:rsid w:val="00703887"/>
    <w:rsid w:val="00704465"/>
    <w:rsid w:val="007044CA"/>
    <w:rsid w:val="00704FE2"/>
    <w:rsid w:val="007068A7"/>
    <w:rsid w:val="007073F5"/>
    <w:rsid w:val="00707606"/>
    <w:rsid w:val="00707CFE"/>
    <w:rsid w:val="00710BA8"/>
    <w:rsid w:val="00710D40"/>
    <w:rsid w:val="00710D4C"/>
    <w:rsid w:val="00710F08"/>
    <w:rsid w:val="0071259A"/>
    <w:rsid w:val="00712CD5"/>
    <w:rsid w:val="00712EDE"/>
    <w:rsid w:val="007132CC"/>
    <w:rsid w:val="00713CC0"/>
    <w:rsid w:val="007143B5"/>
    <w:rsid w:val="007145E0"/>
    <w:rsid w:val="00714B80"/>
    <w:rsid w:val="00714F74"/>
    <w:rsid w:val="00715F89"/>
    <w:rsid w:val="00716AC7"/>
    <w:rsid w:val="00716BF1"/>
    <w:rsid w:val="00716FFF"/>
    <w:rsid w:val="00717B49"/>
    <w:rsid w:val="00720E9A"/>
    <w:rsid w:val="00721085"/>
    <w:rsid w:val="00721590"/>
    <w:rsid w:val="007215EC"/>
    <w:rsid w:val="007216B9"/>
    <w:rsid w:val="00721BA5"/>
    <w:rsid w:val="0072219B"/>
    <w:rsid w:val="0072296A"/>
    <w:rsid w:val="00722A01"/>
    <w:rsid w:val="00723697"/>
    <w:rsid w:val="00724208"/>
    <w:rsid w:val="007242F1"/>
    <w:rsid w:val="007255DF"/>
    <w:rsid w:val="00725DCC"/>
    <w:rsid w:val="00726068"/>
    <w:rsid w:val="007263F7"/>
    <w:rsid w:val="007269FC"/>
    <w:rsid w:val="00726F2E"/>
    <w:rsid w:val="00727066"/>
    <w:rsid w:val="007320A5"/>
    <w:rsid w:val="007320D9"/>
    <w:rsid w:val="0073213B"/>
    <w:rsid w:val="00732710"/>
    <w:rsid w:val="00732C8D"/>
    <w:rsid w:val="00734645"/>
    <w:rsid w:val="007346E0"/>
    <w:rsid w:val="007347C5"/>
    <w:rsid w:val="00734B0A"/>
    <w:rsid w:val="00734D4E"/>
    <w:rsid w:val="007365C7"/>
    <w:rsid w:val="0073675F"/>
    <w:rsid w:val="0073700E"/>
    <w:rsid w:val="00737EAF"/>
    <w:rsid w:val="0074065D"/>
    <w:rsid w:val="007415D3"/>
    <w:rsid w:val="0074195B"/>
    <w:rsid w:val="0074196D"/>
    <w:rsid w:val="0074305F"/>
    <w:rsid w:val="007434D0"/>
    <w:rsid w:val="007439D5"/>
    <w:rsid w:val="00743CDB"/>
    <w:rsid w:val="00744257"/>
    <w:rsid w:val="007446AA"/>
    <w:rsid w:val="0074580B"/>
    <w:rsid w:val="007461DA"/>
    <w:rsid w:val="00747827"/>
    <w:rsid w:val="007529C2"/>
    <w:rsid w:val="00752DE4"/>
    <w:rsid w:val="007530A3"/>
    <w:rsid w:val="0075448A"/>
    <w:rsid w:val="00755568"/>
    <w:rsid w:val="00755F2B"/>
    <w:rsid w:val="00756F85"/>
    <w:rsid w:val="00760846"/>
    <w:rsid w:val="00761229"/>
    <w:rsid w:val="007630ED"/>
    <w:rsid w:val="0076317C"/>
    <w:rsid w:val="00763207"/>
    <w:rsid w:val="007633F4"/>
    <w:rsid w:val="00763897"/>
    <w:rsid w:val="0076403D"/>
    <w:rsid w:val="0076586E"/>
    <w:rsid w:val="007658DB"/>
    <w:rsid w:val="00767575"/>
    <w:rsid w:val="007675AA"/>
    <w:rsid w:val="0076778A"/>
    <w:rsid w:val="00770073"/>
    <w:rsid w:val="007701D6"/>
    <w:rsid w:val="0077053A"/>
    <w:rsid w:val="007707B8"/>
    <w:rsid w:val="00770950"/>
    <w:rsid w:val="007710E7"/>
    <w:rsid w:val="007726E4"/>
    <w:rsid w:val="00773620"/>
    <w:rsid w:val="00773FD9"/>
    <w:rsid w:val="00774C6F"/>
    <w:rsid w:val="00774F41"/>
    <w:rsid w:val="00775721"/>
    <w:rsid w:val="0077599D"/>
    <w:rsid w:val="0077740C"/>
    <w:rsid w:val="00777ED1"/>
    <w:rsid w:val="007800F9"/>
    <w:rsid w:val="0078368E"/>
    <w:rsid w:val="00783F89"/>
    <w:rsid w:val="00783FD3"/>
    <w:rsid w:val="0078457F"/>
    <w:rsid w:val="00784C09"/>
    <w:rsid w:val="00784C59"/>
    <w:rsid w:val="00785121"/>
    <w:rsid w:val="007853F1"/>
    <w:rsid w:val="00787832"/>
    <w:rsid w:val="0078794F"/>
    <w:rsid w:val="00787FED"/>
    <w:rsid w:val="00790342"/>
    <w:rsid w:val="00790A20"/>
    <w:rsid w:val="00790F8F"/>
    <w:rsid w:val="00791A53"/>
    <w:rsid w:val="00792184"/>
    <w:rsid w:val="007922DC"/>
    <w:rsid w:val="0079377D"/>
    <w:rsid w:val="00793DFB"/>
    <w:rsid w:val="00794592"/>
    <w:rsid w:val="007955A9"/>
    <w:rsid w:val="00795A82"/>
    <w:rsid w:val="00797291"/>
    <w:rsid w:val="0079737A"/>
    <w:rsid w:val="00797792"/>
    <w:rsid w:val="00797EAB"/>
    <w:rsid w:val="007A0175"/>
    <w:rsid w:val="007A03F3"/>
    <w:rsid w:val="007A056F"/>
    <w:rsid w:val="007A0830"/>
    <w:rsid w:val="007A2686"/>
    <w:rsid w:val="007A3E58"/>
    <w:rsid w:val="007A4092"/>
    <w:rsid w:val="007A506C"/>
    <w:rsid w:val="007A5AC5"/>
    <w:rsid w:val="007A720D"/>
    <w:rsid w:val="007A7251"/>
    <w:rsid w:val="007B0B91"/>
    <w:rsid w:val="007B1DFE"/>
    <w:rsid w:val="007B1E9F"/>
    <w:rsid w:val="007B3565"/>
    <w:rsid w:val="007B3649"/>
    <w:rsid w:val="007B391C"/>
    <w:rsid w:val="007B3D7D"/>
    <w:rsid w:val="007B3D9D"/>
    <w:rsid w:val="007B4781"/>
    <w:rsid w:val="007B5FA0"/>
    <w:rsid w:val="007B60E1"/>
    <w:rsid w:val="007B67C3"/>
    <w:rsid w:val="007B6AB8"/>
    <w:rsid w:val="007B7824"/>
    <w:rsid w:val="007C0ACA"/>
    <w:rsid w:val="007C0EAE"/>
    <w:rsid w:val="007C1805"/>
    <w:rsid w:val="007C1C6C"/>
    <w:rsid w:val="007C2A88"/>
    <w:rsid w:val="007C34F4"/>
    <w:rsid w:val="007C4292"/>
    <w:rsid w:val="007C4407"/>
    <w:rsid w:val="007C44E9"/>
    <w:rsid w:val="007C4C9F"/>
    <w:rsid w:val="007C4DEC"/>
    <w:rsid w:val="007C5614"/>
    <w:rsid w:val="007C58C6"/>
    <w:rsid w:val="007C675F"/>
    <w:rsid w:val="007D0055"/>
    <w:rsid w:val="007D0C4C"/>
    <w:rsid w:val="007D1C98"/>
    <w:rsid w:val="007D1D0D"/>
    <w:rsid w:val="007D1F23"/>
    <w:rsid w:val="007D2039"/>
    <w:rsid w:val="007D3424"/>
    <w:rsid w:val="007D3F60"/>
    <w:rsid w:val="007D433B"/>
    <w:rsid w:val="007D5DD9"/>
    <w:rsid w:val="007D661F"/>
    <w:rsid w:val="007D689B"/>
    <w:rsid w:val="007D7FEC"/>
    <w:rsid w:val="007E0848"/>
    <w:rsid w:val="007E1563"/>
    <w:rsid w:val="007E1F23"/>
    <w:rsid w:val="007E2388"/>
    <w:rsid w:val="007E374E"/>
    <w:rsid w:val="007E37B1"/>
    <w:rsid w:val="007E48E4"/>
    <w:rsid w:val="007E4FE5"/>
    <w:rsid w:val="007E558B"/>
    <w:rsid w:val="007E7766"/>
    <w:rsid w:val="007F31D5"/>
    <w:rsid w:val="007F35F9"/>
    <w:rsid w:val="007F39FE"/>
    <w:rsid w:val="007F468D"/>
    <w:rsid w:val="007F482A"/>
    <w:rsid w:val="007F5E41"/>
    <w:rsid w:val="007F6E3C"/>
    <w:rsid w:val="007F705A"/>
    <w:rsid w:val="007F73ED"/>
    <w:rsid w:val="008000B0"/>
    <w:rsid w:val="0080017F"/>
    <w:rsid w:val="00800F66"/>
    <w:rsid w:val="00801558"/>
    <w:rsid w:val="008020EF"/>
    <w:rsid w:val="00802544"/>
    <w:rsid w:val="0080279D"/>
    <w:rsid w:val="0080320D"/>
    <w:rsid w:val="00803A2A"/>
    <w:rsid w:val="00803CB5"/>
    <w:rsid w:val="008042CA"/>
    <w:rsid w:val="00805283"/>
    <w:rsid w:val="00807331"/>
    <w:rsid w:val="0080775F"/>
    <w:rsid w:val="00807FB1"/>
    <w:rsid w:val="008106BF"/>
    <w:rsid w:val="00810967"/>
    <w:rsid w:val="00810FD5"/>
    <w:rsid w:val="0081112C"/>
    <w:rsid w:val="00811FDE"/>
    <w:rsid w:val="008128A6"/>
    <w:rsid w:val="0081361D"/>
    <w:rsid w:val="008138F0"/>
    <w:rsid w:val="0081423C"/>
    <w:rsid w:val="00816C7B"/>
    <w:rsid w:val="00817164"/>
    <w:rsid w:val="00817C73"/>
    <w:rsid w:val="00820568"/>
    <w:rsid w:val="00821699"/>
    <w:rsid w:val="008216FC"/>
    <w:rsid w:val="008218C4"/>
    <w:rsid w:val="008219AE"/>
    <w:rsid w:val="00821CFE"/>
    <w:rsid w:val="00822A72"/>
    <w:rsid w:val="008237E3"/>
    <w:rsid w:val="00823B33"/>
    <w:rsid w:val="00823C87"/>
    <w:rsid w:val="00824F0C"/>
    <w:rsid w:val="0082522F"/>
    <w:rsid w:val="00825E34"/>
    <w:rsid w:val="00830871"/>
    <w:rsid w:val="00831852"/>
    <w:rsid w:val="00831908"/>
    <w:rsid w:val="00832158"/>
    <w:rsid w:val="0083227E"/>
    <w:rsid w:val="00833156"/>
    <w:rsid w:val="008339BF"/>
    <w:rsid w:val="0083415C"/>
    <w:rsid w:val="00834254"/>
    <w:rsid w:val="00834329"/>
    <w:rsid w:val="0083456D"/>
    <w:rsid w:val="00834AE2"/>
    <w:rsid w:val="00835165"/>
    <w:rsid w:val="008352A9"/>
    <w:rsid w:val="00836722"/>
    <w:rsid w:val="00837324"/>
    <w:rsid w:val="008379FD"/>
    <w:rsid w:val="008402CF"/>
    <w:rsid w:val="008411EF"/>
    <w:rsid w:val="00841356"/>
    <w:rsid w:val="008419ED"/>
    <w:rsid w:val="00841CC7"/>
    <w:rsid w:val="00841EEA"/>
    <w:rsid w:val="00842638"/>
    <w:rsid w:val="00843C02"/>
    <w:rsid w:val="00843EF7"/>
    <w:rsid w:val="00844304"/>
    <w:rsid w:val="00844870"/>
    <w:rsid w:val="00844AB3"/>
    <w:rsid w:val="008454EB"/>
    <w:rsid w:val="0084569E"/>
    <w:rsid w:val="00845756"/>
    <w:rsid w:val="00845B7B"/>
    <w:rsid w:val="00845C62"/>
    <w:rsid w:val="00845D5C"/>
    <w:rsid w:val="0084661C"/>
    <w:rsid w:val="00846E1A"/>
    <w:rsid w:val="008501FA"/>
    <w:rsid w:val="008509EC"/>
    <w:rsid w:val="00851056"/>
    <w:rsid w:val="00851E33"/>
    <w:rsid w:val="00851E7D"/>
    <w:rsid w:val="008528FF"/>
    <w:rsid w:val="008540D1"/>
    <w:rsid w:val="00854D9A"/>
    <w:rsid w:val="00855831"/>
    <w:rsid w:val="00855A78"/>
    <w:rsid w:val="0085628C"/>
    <w:rsid w:val="00856A6D"/>
    <w:rsid w:val="00857734"/>
    <w:rsid w:val="00860C94"/>
    <w:rsid w:val="00860D65"/>
    <w:rsid w:val="00860D81"/>
    <w:rsid w:val="0086105C"/>
    <w:rsid w:val="00861285"/>
    <w:rsid w:val="008614E2"/>
    <w:rsid w:val="0086157D"/>
    <w:rsid w:val="00862B31"/>
    <w:rsid w:val="00862C04"/>
    <w:rsid w:val="00865AB3"/>
    <w:rsid w:val="00866086"/>
    <w:rsid w:val="00866D0E"/>
    <w:rsid w:val="00866D3F"/>
    <w:rsid w:val="00866F9F"/>
    <w:rsid w:val="008679A1"/>
    <w:rsid w:val="00867C16"/>
    <w:rsid w:val="00870057"/>
    <w:rsid w:val="008708F5"/>
    <w:rsid w:val="00870C96"/>
    <w:rsid w:val="00870E70"/>
    <w:rsid w:val="00871238"/>
    <w:rsid w:val="00871D3E"/>
    <w:rsid w:val="00872ABE"/>
    <w:rsid w:val="00872BB4"/>
    <w:rsid w:val="00873577"/>
    <w:rsid w:val="00874594"/>
    <w:rsid w:val="00874CF4"/>
    <w:rsid w:val="008753F2"/>
    <w:rsid w:val="00875578"/>
    <w:rsid w:val="00875C4D"/>
    <w:rsid w:val="00875CC4"/>
    <w:rsid w:val="00877A1F"/>
    <w:rsid w:val="00877AF1"/>
    <w:rsid w:val="0088173A"/>
    <w:rsid w:val="008831D0"/>
    <w:rsid w:val="0088338C"/>
    <w:rsid w:val="00883613"/>
    <w:rsid w:val="00883888"/>
    <w:rsid w:val="0088390F"/>
    <w:rsid w:val="00884368"/>
    <w:rsid w:val="0088443E"/>
    <w:rsid w:val="00884A2B"/>
    <w:rsid w:val="00884A68"/>
    <w:rsid w:val="008857A1"/>
    <w:rsid w:val="00885C8F"/>
    <w:rsid w:val="00886505"/>
    <w:rsid w:val="00886F75"/>
    <w:rsid w:val="008872D1"/>
    <w:rsid w:val="00891E50"/>
    <w:rsid w:val="00892544"/>
    <w:rsid w:val="00892989"/>
    <w:rsid w:val="00894EF3"/>
    <w:rsid w:val="00895D4F"/>
    <w:rsid w:val="00895FE0"/>
    <w:rsid w:val="0089629A"/>
    <w:rsid w:val="00896AB9"/>
    <w:rsid w:val="00896FD6"/>
    <w:rsid w:val="00897A26"/>
    <w:rsid w:val="008A11B3"/>
    <w:rsid w:val="008A15C8"/>
    <w:rsid w:val="008A262A"/>
    <w:rsid w:val="008A3EBB"/>
    <w:rsid w:val="008A44EE"/>
    <w:rsid w:val="008A48FA"/>
    <w:rsid w:val="008A4EB3"/>
    <w:rsid w:val="008A5A82"/>
    <w:rsid w:val="008A6DF7"/>
    <w:rsid w:val="008A6E29"/>
    <w:rsid w:val="008B1E03"/>
    <w:rsid w:val="008B1E5F"/>
    <w:rsid w:val="008B286F"/>
    <w:rsid w:val="008B2B8A"/>
    <w:rsid w:val="008B2D4E"/>
    <w:rsid w:val="008B3017"/>
    <w:rsid w:val="008B37EE"/>
    <w:rsid w:val="008B37F4"/>
    <w:rsid w:val="008B38F5"/>
    <w:rsid w:val="008B3C0C"/>
    <w:rsid w:val="008B49CF"/>
    <w:rsid w:val="008B4E98"/>
    <w:rsid w:val="008B5D21"/>
    <w:rsid w:val="008B6064"/>
    <w:rsid w:val="008B6B0C"/>
    <w:rsid w:val="008B6EA9"/>
    <w:rsid w:val="008B7944"/>
    <w:rsid w:val="008B7E39"/>
    <w:rsid w:val="008B7F03"/>
    <w:rsid w:val="008C07AB"/>
    <w:rsid w:val="008C1339"/>
    <w:rsid w:val="008C4149"/>
    <w:rsid w:val="008C4164"/>
    <w:rsid w:val="008C47EB"/>
    <w:rsid w:val="008C52D8"/>
    <w:rsid w:val="008C5372"/>
    <w:rsid w:val="008C5CA9"/>
    <w:rsid w:val="008C6503"/>
    <w:rsid w:val="008C6E7C"/>
    <w:rsid w:val="008C7D5F"/>
    <w:rsid w:val="008D1390"/>
    <w:rsid w:val="008D15BF"/>
    <w:rsid w:val="008D1C11"/>
    <w:rsid w:val="008D3CD1"/>
    <w:rsid w:val="008D42A9"/>
    <w:rsid w:val="008D465C"/>
    <w:rsid w:val="008D4CCF"/>
    <w:rsid w:val="008D53A8"/>
    <w:rsid w:val="008D60A6"/>
    <w:rsid w:val="008D653C"/>
    <w:rsid w:val="008D6A05"/>
    <w:rsid w:val="008D718E"/>
    <w:rsid w:val="008D7577"/>
    <w:rsid w:val="008D78A6"/>
    <w:rsid w:val="008D7E13"/>
    <w:rsid w:val="008E0101"/>
    <w:rsid w:val="008E17AD"/>
    <w:rsid w:val="008E1A3A"/>
    <w:rsid w:val="008E1F38"/>
    <w:rsid w:val="008E24F9"/>
    <w:rsid w:val="008E2973"/>
    <w:rsid w:val="008E2B7E"/>
    <w:rsid w:val="008E3761"/>
    <w:rsid w:val="008E3B2F"/>
    <w:rsid w:val="008E4DA9"/>
    <w:rsid w:val="008E4FFB"/>
    <w:rsid w:val="008E54AE"/>
    <w:rsid w:val="008E59D0"/>
    <w:rsid w:val="008E5A89"/>
    <w:rsid w:val="008F08AE"/>
    <w:rsid w:val="008F0B87"/>
    <w:rsid w:val="008F11B2"/>
    <w:rsid w:val="008F1A48"/>
    <w:rsid w:val="008F23A6"/>
    <w:rsid w:val="008F3271"/>
    <w:rsid w:val="008F3B7B"/>
    <w:rsid w:val="008F3E20"/>
    <w:rsid w:val="008F49B9"/>
    <w:rsid w:val="008F4A74"/>
    <w:rsid w:val="008F542C"/>
    <w:rsid w:val="008F59FC"/>
    <w:rsid w:val="008F5F85"/>
    <w:rsid w:val="008F7405"/>
    <w:rsid w:val="008F7470"/>
    <w:rsid w:val="008F78F6"/>
    <w:rsid w:val="00900322"/>
    <w:rsid w:val="009014D0"/>
    <w:rsid w:val="0090273A"/>
    <w:rsid w:val="00904281"/>
    <w:rsid w:val="009049D4"/>
    <w:rsid w:val="00904CEA"/>
    <w:rsid w:val="009057B2"/>
    <w:rsid w:val="0091029E"/>
    <w:rsid w:val="009104E4"/>
    <w:rsid w:val="009107F6"/>
    <w:rsid w:val="00910ABD"/>
    <w:rsid w:val="00910F85"/>
    <w:rsid w:val="00911827"/>
    <w:rsid w:val="00912F3F"/>
    <w:rsid w:val="00914834"/>
    <w:rsid w:val="0091523E"/>
    <w:rsid w:val="0091525D"/>
    <w:rsid w:val="0091674C"/>
    <w:rsid w:val="00916EAD"/>
    <w:rsid w:val="0091717C"/>
    <w:rsid w:val="00917F1A"/>
    <w:rsid w:val="0092072A"/>
    <w:rsid w:val="00920B41"/>
    <w:rsid w:val="00921D39"/>
    <w:rsid w:val="00923F73"/>
    <w:rsid w:val="00924037"/>
    <w:rsid w:val="009241D2"/>
    <w:rsid w:val="009248A3"/>
    <w:rsid w:val="00924BCE"/>
    <w:rsid w:val="00925860"/>
    <w:rsid w:val="00925964"/>
    <w:rsid w:val="00925D69"/>
    <w:rsid w:val="009265B8"/>
    <w:rsid w:val="009269E2"/>
    <w:rsid w:val="00927215"/>
    <w:rsid w:val="009272AD"/>
    <w:rsid w:val="00927C79"/>
    <w:rsid w:val="00930B8F"/>
    <w:rsid w:val="009311FF"/>
    <w:rsid w:val="00931242"/>
    <w:rsid w:val="009323B5"/>
    <w:rsid w:val="00935530"/>
    <w:rsid w:val="009359BA"/>
    <w:rsid w:val="00936A5A"/>
    <w:rsid w:val="00936D0A"/>
    <w:rsid w:val="00940494"/>
    <w:rsid w:val="00940966"/>
    <w:rsid w:val="00940972"/>
    <w:rsid w:val="0094136C"/>
    <w:rsid w:val="009413DA"/>
    <w:rsid w:val="00941705"/>
    <w:rsid w:val="00942A3F"/>
    <w:rsid w:val="00943E54"/>
    <w:rsid w:val="00944003"/>
    <w:rsid w:val="00944064"/>
    <w:rsid w:val="009451A4"/>
    <w:rsid w:val="009459C4"/>
    <w:rsid w:val="009471A9"/>
    <w:rsid w:val="00947B25"/>
    <w:rsid w:val="00947B95"/>
    <w:rsid w:val="00950390"/>
    <w:rsid w:val="00950694"/>
    <w:rsid w:val="0095141A"/>
    <w:rsid w:val="00951CC5"/>
    <w:rsid w:val="00952165"/>
    <w:rsid w:val="0095377B"/>
    <w:rsid w:val="0095423B"/>
    <w:rsid w:val="009546DA"/>
    <w:rsid w:val="00955756"/>
    <w:rsid w:val="009557D3"/>
    <w:rsid w:val="00955817"/>
    <w:rsid w:val="00955818"/>
    <w:rsid w:val="009567BF"/>
    <w:rsid w:val="0095690E"/>
    <w:rsid w:val="00956946"/>
    <w:rsid w:val="009573AB"/>
    <w:rsid w:val="00960EB1"/>
    <w:rsid w:val="00960FBD"/>
    <w:rsid w:val="00961885"/>
    <w:rsid w:val="00962683"/>
    <w:rsid w:val="00962E23"/>
    <w:rsid w:val="00962F99"/>
    <w:rsid w:val="009643FB"/>
    <w:rsid w:val="00964881"/>
    <w:rsid w:val="00964D45"/>
    <w:rsid w:val="00964E16"/>
    <w:rsid w:val="00965CBF"/>
    <w:rsid w:val="00966C5D"/>
    <w:rsid w:val="0096775C"/>
    <w:rsid w:val="009677DB"/>
    <w:rsid w:val="00967979"/>
    <w:rsid w:val="00970C86"/>
    <w:rsid w:val="0097104A"/>
    <w:rsid w:val="00971454"/>
    <w:rsid w:val="00971733"/>
    <w:rsid w:val="0097204A"/>
    <w:rsid w:val="009724C8"/>
    <w:rsid w:val="009727FA"/>
    <w:rsid w:val="00973468"/>
    <w:rsid w:val="00974368"/>
    <w:rsid w:val="00974CBA"/>
    <w:rsid w:val="00977B91"/>
    <w:rsid w:val="009806D3"/>
    <w:rsid w:val="0098256F"/>
    <w:rsid w:val="00984B09"/>
    <w:rsid w:val="00984ED4"/>
    <w:rsid w:val="00985117"/>
    <w:rsid w:val="00986E85"/>
    <w:rsid w:val="0098758E"/>
    <w:rsid w:val="009878DC"/>
    <w:rsid w:val="0098798A"/>
    <w:rsid w:val="00992D09"/>
    <w:rsid w:val="00993AD3"/>
    <w:rsid w:val="00993EE9"/>
    <w:rsid w:val="009940B3"/>
    <w:rsid w:val="00994547"/>
    <w:rsid w:val="009947C6"/>
    <w:rsid w:val="0099499B"/>
    <w:rsid w:val="00994A1F"/>
    <w:rsid w:val="00994D19"/>
    <w:rsid w:val="009A004C"/>
    <w:rsid w:val="009A07BF"/>
    <w:rsid w:val="009A0B42"/>
    <w:rsid w:val="009A1F51"/>
    <w:rsid w:val="009A2C54"/>
    <w:rsid w:val="009A315A"/>
    <w:rsid w:val="009A37FD"/>
    <w:rsid w:val="009A3CAE"/>
    <w:rsid w:val="009A40B2"/>
    <w:rsid w:val="009A4117"/>
    <w:rsid w:val="009A507E"/>
    <w:rsid w:val="009A5C7A"/>
    <w:rsid w:val="009A60C8"/>
    <w:rsid w:val="009A70B4"/>
    <w:rsid w:val="009A7110"/>
    <w:rsid w:val="009B0904"/>
    <w:rsid w:val="009B0BE6"/>
    <w:rsid w:val="009B13C2"/>
    <w:rsid w:val="009B1686"/>
    <w:rsid w:val="009B1821"/>
    <w:rsid w:val="009B1AD5"/>
    <w:rsid w:val="009B2CB8"/>
    <w:rsid w:val="009B6CF4"/>
    <w:rsid w:val="009B7366"/>
    <w:rsid w:val="009C030E"/>
    <w:rsid w:val="009C1662"/>
    <w:rsid w:val="009C1668"/>
    <w:rsid w:val="009C2BF5"/>
    <w:rsid w:val="009C3EBC"/>
    <w:rsid w:val="009C48F0"/>
    <w:rsid w:val="009C70A3"/>
    <w:rsid w:val="009C7739"/>
    <w:rsid w:val="009C7D40"/>
    <w:rsid w:val="009D0CA1"/>
    <w:rsid w:val="009D2D8C"/>
    <w:rsid w:val="009D3560"/>
    <w:rsid w:val="009D359B"/>
    <w:rsid w:val="009D3780"/>
    <w:rsid w:val="009D487F"/>
    <w:rsid w:val="009D5116"/>
    <w:rsid w:val="009D5224"/>
    <w:rsid w:val="009D76CD"/>
    <w:rsid w:val="009D7BE2"/>
    <w:rsid w:val="009D7E0E"/>
    <w:rsid w:val="009E0E41"/>
    <w:rsid w:val="009E1508"/>
    <w:rsid w:val="009E172E"/>
    <w:rsid w:val="009E1B43"/>
    <w:rsid w:val="009E31E8"/>
    <w:rsid w:val="009E3437"/>
    <w:rsid w:val="009E3F07"/>
    <w:rsid w:val="009E4183"/>
    <w:rsid w:val="009E45D7"/>
    <w:rsid w:val="009E4919"/>
    <w:rsid w:val="009E52B9"/>
    <w:rsid w:val="009E54A4"/>
    <w:rsid w:val="009E5799"/>
    <w:rsid w:val="009E6156"/>
    <w:rsid w:val="009E66EF"/>
    <w:rsid w:val="009E6B77"/>
    <w:rsid w:val="009E7947"/>
    <w:rsid w:val="009F051A"/>
    <w:rsid w:val="009F0748"/>
    <w:rsid w:val="009F11AD"/>
    <w:rsid w:val="009F2F87"/>
    <w:rsid w:val="009F37C0"/>
    <w:rsid w:val="009F39BA"/>
    <w:rsid w:val="009F436E"/>
    <w:rsid w:val="009F4D70"/>
    <w:rsid w:val="009F56BD"/>
    <w:rsid w:val="009F5900"/>
    <w:rsid w:val="009F7B13"/>
    <w:rsid w:val="00A00AF8"/>
    <w:rsid w:val="00A01B77"/>
    <w:rsid w:val="00A02767"/>
    <w:rsid w:val="00A02D25"/>
    <w:rsid w:val="00A03238"/>
    <w:rsid w:val="00A03C72"/>
    <w:rsid w:val="00A0496C"/>
    <w:rsid w:val="00A0598D"/>
    <w:rsid w:val="00A05AF4"/>
    <w:rsid w:val="00A065F1"/>
    <w:rsid w:val="00A076CD"/>
    <w:rsid w:val="00A1033D"/>
    <w:rsid w:val="00A10793"/>
    <w:rsid w:val="00A110C1"/>
    <w:rsid w:val="00A11B1C"/>
    <w:rsid w:val="00A11C70"/>
    <w:rsid w:val="00A122CC"/>
    <w:rsid w:val="00A137DB"/>
    <w:rsid w:val="00A13AC0"/>
    <w:rsid w:val="00A148C6"/>
    <w:rsid w:val="00A152C6"/>
    <w:rsid w:val="00A168AF"/>
    <w:rsid w:val="00A16FA5"/>
    <w:rsid w:val="00A174F7"/>
    <w:rsid w:val="00A20974"/>
    <w:rsid w:val="00A218EB"/>
    <w:rsid w:val="00A239E3"/>
    <w:rsid w:val="00A24B2C"/>
    <w:rsid w:val="00A25B7B"/>
    <w:rsid w:val="00A25D65"/>
    <w:rsid w:val="00A26254"/>
    <w:rsid w:val="00A26B16"/>
    <w:rsid w:val="00A2733D"/>
    <w:rsid w:val="00A27A5A"/>
    <w:rsid w:val="00A27D04"/>
    <w:rsid w:val="00A30003"/>
    <w:rsid w:val="00A30A81"/>
    <w:rsid w:val="00A30FFC"/>
    <w:rsid w:val="00A31695"/>
    <w:rsid w:val="00A320BE"/>
    <w:rsid w:val="00A3227B"/>
    <w:rsid w:val="00A32563"/>
    <w:rsid w:val="00A32D08"/>
    <w:rsid w:val="00A33C49"/>
    <w:rsid w:val="00A341CD"/>
    <w:rsid w:val="00A369EA"/>
    <w:rsid w:val="00A37834"/>
    <w:rsid w:val="00A37C85"/>
    <w:rsid w:val="00A40672"/>
    <w:rsid w:val="00A411BE"/>
    <w:rsid w:val="00A41A39"/>
    <w:rsid w:val="00A41AEA"/>
    <w:rsid w:val="00A41D3A"/>
    <w:rsid w:val="00A421B2"/>
    <w:rsid w:val="00A42A4C"/>
    <w:rsid w:val="00A42D15"/>
    <w:rsid w:val="00A43E5D"/>
    <w:rsid w:val="00A44203"/>
    <w:rsid w:val="00A44473"/>
    <w:rsid w:val="00A44FC8"/>
    <w:rsid w:val="00A45AC3"/>
    <w:rsid w:val="00A45D83"/>
    <w:rsid w:val="00A46665"/>
    <w:rsid w:val="00A46795"/>
    <w:rsid w:val="00A46E48"/>
    <w:rsid w:val="00A47A68"/>
    <w:rsid w:val="00A47F82"/>
    <w:rsid w:val="00A47FE2"/>
    <w:rsid w:val="00A50AF0"/>
    <w:rsid w:val="00A511F7"/>
    <w:rsid w:val="00A51671"/>
    <w:rsid w:val="00A52BDD"/>
    <w:rsid w:val="00A54D07"/>
    <w:rsid w:val="00A550C2"/>
    <w:rsid w:val="00A56335"/>
    <w:rsid w:val="00A56BC2"/>
    <w:rsid w:val="00A57113"/>
    <w:rsid w:val="00A573A6"/>
    <w:rsid w:val="00A57F6B"/>
    <w:rsid w:val="00A61428"/>
    <w:rsid w:val="00A61A47"/>
    <w:rsid w:val="00A62BC0"/>
    <w:rsid w:val="00A634A0"/>
    <w:rsid w:val="00A654FF"/>
    <w:rsid w:val="00A656F5"/>
    <w:rsid w:val="00A65CC1"/>
    <w:rsid w:val="00A66B4A"/>
    <w:rsid w:val="00A67875"/>
    <w:rsid w:val="00A67CDD"/>
    <w:rsid w:val="00A67D6E"/>
    <w:rsid w:val="00A67F3F"/>
    <w:rsid w:val="00A702DF"/>
    <w:rsid w:val="00A70995"/>
    <w:rsid w:val="00A70E61"/>
    <w:rsid w:val="00A71860"/>
    <w:rsid w:val="00A71C24"/>
    <w:rsid w:val="00A71CFE"/>
    <w:rsid w:val="00A71EA9"/>
    <w:rsid w:val="00A723BF"/>
    <w:rsid w:val="00A739FC"/>
    <w:rsid w:val="00A73D9F"/>
    <w:rsid w:val="00A7421D"/>
    <w:rsid w:val="00A75372"/>
    <w:rsid w:val="00A75DCF"/>
    <w:rsid w:val="00A75E52"/>
    <w:rsid w:val="00A76649"/>
    <w:rsid w:val="00A76D5F"/>
    <w:rsid w:val="00A8158D"/>
    <w:rsid w:val="00A81B57"/>
    <w:rsid w:val="00A8241E"/>
    <w:rsid w:val="00A824AB"/>
    <w:rsid w:val="00A82739"/>
    <w:rsid w:val="00A8466D"/>
    <w:rsid w:val="00A861EF"/>
    <w:rsid w:val="00A8669B"/>
    <w:rsid w:val="00A878A7"/>
    <w:rsid w:val="00A87D3C"/>
    <w:rsid w:val="00A87DA8"/>
    <w:rsid w:val="00A90002"/>
    <w:rsid w:val="00A90820"/>
    <w:rsid w:val="00A91129"/>
    <w:rsid w:val="00A92026"/>
    <w:rsid w:val="00A92187"/>
    <w:rsid w:val="00A9269F"/>
    <w:rsid w:val="00A927C7"/>
    <w:rsid w:val="00A931A3"/>
    <w:rsid w:val="00A9502A"/>
    <w:rsid w:val="00A9508D"/>
    <w:rsid w:val="00A95356"/>
    <w:rsid w:val="00A959CC"/>
    <w:rsid w:val="00A95B71"/>
    <w:rsid w:val="00A97083"/>
    <w:rsid w:val="00A972BF"/>
    <w:rsid w:val="00AA0091"/>
    <w:rsid w:val="00AA0659"/>
    <w:rsid w:val="00AA1026"/>
    <w:rsid w:val="00AA1394"/>
    <w:rsid w:val="00AA2678"/>
    <w:rsid w:val="00AA36BB"/>
    <w:rsid w:val="00AA3AFA"/>
    <w:rsid w:val="00AA3D0C"/>
    <w:rsid w:val="00AA3D7B"/>
    <w:rsid w:val="00AA5355"/>
    <w:rsid w:val="00AA5B9A"/>
    <w:rsid w:val="00AA5F59"/>
    <w:rsid w:val="00AA632E"/>
    <w:rsid w:val="00AA66FC"/>
    <w:rsid w:val="00AA680A"/>
    <w:rsid w:val="00AA6DCE"/>
    <w:rsid w:val="00AA7023"/>
    <w:rsid w:val="00AA73BB"/>
    <w:rsid w:val="00AA76A6"/>
    <w:rsid w:val="00AA7DC7"/>
    <w:rsid w:val="00AB1153"/>
    <w:rsid w:val="00AB160B"/>
    <w:rsid w:val="00AB3576"/>
    <w:rsid w:val="00AB4300"/>
    <w:rsid w:val="00AB6A20"/>
    <w:rsid w:val="00AB71EC"/>
    <w:rsid w:val="00AB7502"/>
    <w:rsid w:val="00AB7BA9"/>
    <w:rsid w:val="00AB7F83"/>
    <w:rsid w:val="00AC03D2"/>
    <w:rsid w:val="00AC0947"/>
    <w:rsid w:val="00AC0A07"/>
    <w:rsid w:val="00AC0E6F"/>
    <w:rsid w:val="00AC109A"/>
    <w:rsid w:val="00AC35CD"/>
    <w:rsid w:val="00AC3DB9"/>
    <w:rsid w:val="00AC4270"/>
    <w:rsid w:val="00AC4557"/>
    <w:rsid w:val="00AC4FD7"/>
    <w:rsid w:val="00AC596B"/>
    <w:rsid w:val="00AC6592"/>
    <w:rsid w:val="00AC728E"/>
    <w:rsid w:val="00AD0AD5"/>
    <w:rsid w:val="00AD0D68"/>
    <w:rsid w:val="00AD180D"/>
    <w:rsid w:val="00AD22F2"/>
    <w:rsid w:val="00AD2C19"/>
    <w:rsid w:val="00AD2C76"/>
    <w:rsid w:val="00AD4753"/>
    <w:rsid w:val="00AD4FA0"/>
    <w:rsid w:val="00AD5769"/>
    <w:rsid w:val="00AD624C"/>
    <w:rsid w:val="00AD6FEE"/>
    <w:rsid w:val="00AD7193"/>
    <w:rsid w:val="00AE08E0"/>
    <w:rsid w:val="00AE09D2"/>
    <w:rsid w:val="00AE15CA"/>
    <w:rsid w:val="00AE1752"/>
    <w:rsid w:val="00AE2182"/>
    <w:rsid w:val="00AE22A9"/>
    <w:rsid w:val="00AE5319"/>
    <w:rsid w:val="00AE532B"/>
    <w:rsid w:val="00AE54DE"/>
    <w:rsid w:val="00AE5D2B"/>
    <w:rsid w:val="00AE6A3A"/>
    <w:rsid w:val="00AE6BA4"/>
    <w:rsid w:val="00AE72D1"/>
    <w:rsid w:val="00AE7C1F"/>
    <w:rsid w:val="00AF07A9"/>
    <w:rsid w:val="00AF1506"/>
    <w:rsid w:val="00AF3A6D"/>
    <w:rsid w:val="00AF4A5E"/>
    <w:rsid w:val="00AF4B30"/>
    <w:rsid w:val="00AF52C4"/>
    <w:rsid w:val="00AF545E"/>
    <w:rsid w:val="00AF5C3B"/>
    <w:rsid w:val="00AF6580"/>
    <w:rsid w:val="00AF65EE"/>
    <w:rsid w:val="00AF665C"/>
    <w:rsid w:val="00AF6D6E"/>
    <w:rsid w:val="00B00074"/>
    <w:rsid w:val="00B01022"/>
    <w:rsid w:val="00B02B4A"/>
    <w:rsid w:val="00B02E15"/>
    <w:rsid w:val="00B047E7"/>
    <w:rsid w:val="00B04D97"/>
    <w:rsid w:val="00B04FB7"/>
    <w:rsid w:val="00B05AE3"/>
    <w:rsid w:val="00B05B60"/>
    <w:rsid w:val="00B05DA5"/>
    <w:rsid w:val="00B0679A"/>
    <w:rsid w:val="00B079E1"/>
    <w:rsid w:val="00B07DD1"/>
    <w:rsid w:val="00B10A85"/>
    <w:rsid w:val="00B11BAF"/>
    <w:rsid w:val="00B12599"/>
    <w:rsid w:val="00B13021"/>
    <w:rsid w:val="00B16606"/>
    <w:rsid w:val="00B178B8"/>
    <w:rsid w:val="00B2051E"/>
    <w:rsid w:val="00B20740"/>
    <w:rsid w:val="00B2078D"/>
    <w:rsid w:val="00B207CF"/>
    <w:rsid w:val="00B211A2"/>
    <w:rsid w:val="00B22434"/>
    <w:rsid w:val="00B23E1E"/>
    <w:rsid w:val="00B24695"/>
    <w:rsid w:val="00B24EA0"/>
    <w:rsid w:val="00B251D4"/>
    <w:rsid w:val="00B2793B"/>
    <w:rsid w:val="00B27AA2"/>
    <w:rsid w:val="00B3037C"/>
    <w:rsid w:val="00B30F94"/>
    <w:rsid w:val="00B30FCF"/>
    <w:rsid w:val="00B32766"/>
    <w:rsid w:val="00B327AE"/>
    <w:rsid w:val="00B3297C"/>
    <w:rsid w:val="00B330D4"/>
    <w:rsid w:val="00B337D9"/>
    <w:rsid w:val="00B349B9"/>
    <w:rsid w:val="00B34BE2"/>
    <w:rsid w:val="00B35037"/>
    <w:rsid w:val="00B352E4"/>
    <w:rsid w:val="00B3552F"/>
    <w:rsid w:val="00B35747"/>
    <w:rsid w:val="00B36391"/>
    <w:rsid w:val="00B36BD4"/>
    <w:rsid w:val="00B37797"/>
    <w:rsid w:val="00B378A6"/>
    <w:rsid w:val="00B37C38"/>
    <w:rsid w:val="00B40391"/>
    <w:rsid w:val="00B40D83"/>
    <w:rsid w:val="00B42836"/>
    <w:rsid w:val="00B42CAE"/>
    <w:rsid w:val="00B42E54"/>
    <w:rsid w:val="00B43315"/>
    <w:rsid w:val="00B43CED"/>
    <w:rsid w:val="00B45940"/>
    <w:rsid w:val="00B45B95"/>
    <w:rsid w:val="00B464C1"/>
    <w:rsid w:val="00B46B8B"/>
    <w:rsid w:val="00B47275"/>
    <w:rsid w:val="00B479CB"/>
    <w:rsid w:val="00B5057F"/>
    <w:rsid w:val="00B50592"/>
    <w:rsid w:val="00B508D2"/>
    <w:rsid w:val="00B50BDD"/>
    <w:rsid w:val="00B52CFA"/>
    <w:rsid w:val="00B52E08"/>
    <w:rsid w:val="00B54B42"/>
    <w:rsid w:val="00B55751"/>
    <w:rsid w:val="00B55872"/>
    <w:rsid w:val="00B55FF9"/>
    <w:rsid w:val="00B5658C"/>
    <w:rsid w:val="00B605FD"/>
    <w:rsid w:val="00B61071"/>
    <w:rsid w:val="00B617B5"/>
    <w:rsid w:val="00B6255D"/>
    <w:rsid w:val="00B63013"/>
    <w:rsid w:val="00B6315E"/>
    <w:rsid w:val="00B644E7"/>
    <w:rsid w:val="00B64570"/>
    <w:rsid w:val="00B6522D"/>
    <w:rsid w:val="00B65290"/>
    <w:rsid w:val="00B66BC1"/>
    <w:rsid w:val="00B67EA3"/>
    <w:rsid w:val="00B70318"/>
    <w:rsid w:val="00B70BD5"/>
    <w:rsid w:val="00B70C3E"/>
    <w:rsid w:val="00B70F49"/>
    <w:rsid w:val="00B70F99"/>
    <w:rsid w:val="00B72337"/>
    <w:rsid w:val="00B73604"/>
    <w:rsid w:val="00B73713"/>
    <w:rsid w:val="00B73A5D"/>
    <w:rsid w:val="00B74F76"/>
    <w:rsid w:val="00B75093"/>
    <w:rsid w:val="00B75213"/>
    <w:rsid w:val="00B76142"/>
    <w:rsid w:val="00B764A1"/>
    <w:rsid w:val="00B768F8"/>
    <w:rsid w:val="00B76D8F"/>
    <w:rsid w:val="00B77413"/>
    <w:rsid w:val="00B77724"/>
    <w:rsid w:val="00B81750"/>
    <w:rsid w:val="00B81752"/>
    <w:rsid w:val="00B820E5"/>
    <w:rsid w:val="00B826C0"/>
    <w:rsid w:val="00B82954"/>
    <w:rsid w:val="00B83232"/>
    <w:rsid w:val="00B852BD"/>
    <w:rsid w:val="00B8533F"/>
    <w:rsid w:val="00B87F45"/>
    <w:rsid w:val="00B900AD"/>
    <w:rsid w:val="00B91A79"/>
    <w:rsid w:val="00B91C21"/>
    <w:rsid w:val="00B9267E"/>
    <w:rsid w:val="00B93096"/>
    <w:rsid w:val="00B9311F"/>
    <w:rsid w:val="00B9347C"/>
    <w:rsid w:val="00B9399C"/>
    <w:rsid w:val="00B9471B"/>
    <w:rsid w:val="00B94D7C"/>
    <w:rsid w:val="00B94F27"/>
    <w:rsid w:val="00B950CC"/>
    <w:rsid w:val="00B954AC"/>
    <w:rsid w:val="00B9715A"/>
    <w:rsid w:val="00B97829"/>
    <w:rsid w:val="00BA11ED"/>
    <w:rsid w:val="00BA1BC5"/>
    <w:rsid w:val="00BA1FB4"/>
    <w:rsid w:val="00BA2B37"/>
    <w:rsid w:val="00BA34CC"/>
    <w:rsid w:val="00BA4216"/>
    <w:rsid w:val="00BA53C3"/>
    <w:rsid w:val="00BA56F1"/>
    <w:rsid w:val="00BB0559"/>
    <w:rsid w:val="00BB0E95"/>
    <w:rsid w:val="00BB1308"/>
    <w:rsid w:val="00BB1AEA"/>
    <w:rsid w:val="00BB2095"/>
    <w:rsid w:val="00BB2ACB"/>
    <w:rsid w:val="00BB2CF2"/>
    <w:rsid w:val="00BB2EC3"/>
    <w:rsid w:val="00BB355F"/>
    <w:rsid w:val="00BB3D48"/>
    <w:rsid w:val="00BB50F4"/>
    <w:rsid w:val="00BB6177"/>
    <w:rsid w:val="00BB6E01"/>
    <w:rsid w:val="00BB6EFF"/>
    <w:rsid w:val="00BC17F5"/>
    <w:rsid w:val="00BC19B3"/>
    <w:rsid w:val="00BC2C87"/>
    <w:rsid w:val="00BC350E"/>
    <w:rsid w:val="00BC4BF6"/>
    <w:rsid w:val="00BC4DBB"/>
    <w:rsid w:val="00BC4E54"/>
    <w:rsid w:val="00BC5AD7"/>
    <w:rsid w:val="00BC5BB9"/>
    <w:rsid w:val="00BC633B"/>
    <w:rsid w:val="00BC6566"/>
    <w:rsid w:val="00BC69C5"/>
    <w:rsid w:val="00BC7679"/>
    <w:rsid w:val="00BC76A7"/>
    <w:rsid w:val="00BC7C8E"/>
    <w:rsid w:val="00BD0761"/>
    <w:rsid w:val="00BD0D70"/>
    <w:rsid w:val="00BD0DEA"/>
    <w:rsid w:val="00BD0E7F"/>
    <w:rsid w:val="00BD221F"/>
    <w:rsid w:val="00BD3C09"/>
    <w:rsid w:val="00BD4F86"/>
    <w:rsid w:val="00BD52DE"/>
    <w:rsid w:val="00BD5816"/>
    <w:rsid w:val="00BD5E0D"/>
    <w:rsid w:val="00BD6384"/>
    <w:rsid w:val="00BD7648"/>
    <w:rsid w:val="00BD7AE5"/>
    <w:rsid w:val="00BD7D2F"/>
    <w:rsid w:val="00BE0564"/>
    <w:rsid w:val="00BE147B"/>
    <w:rsid w:val="00BE2053"/>
    <w:rsid w:val="00BE261E"/>
    <w:rsid w:val="00BE29D1"/>
    <w:rsid w:val="00BE3125"/>
    <w:rsid w:val="00BE48D7"/>
    <w:rsid w:val="00BE4D8D"/>
    <w:rsid w:val="00BE5575"/>
    <w:rsid w:val="00BE6027"/>
    <w:rsid w:val="00BE618C"/>
    <w:rsid w:val="00BE7E2B"/>
    <w:rsid w:val="00BF078E"/>
    <w:rsid w:val="00BF0A8C"/>
    <w:rsid w:val="00BF0F85"/>
    <w:rsid w:val="00BF1BE4"/>
    <w:rsid w:val="00BF1F6F"/>
    <w:rsid w:val="00BF36EF"/>
    <w:rsid w:val="00BF3854"/>
    <w:rsid w:val="00BF4040"/>
    <w:rsid w:val="00BF47C5"/>
    <w:rsid w:val="00BF5CD9"/>
    <w:rsid w:val="00BF623B"/>
    <w:rsid w:val="00BF6895"/>
    <w:rsid w:val="00BF6967"/>
    <w:rsid w:val="00BF757D"/>
    <w:rsid w:val="00BF79D0"/>
    <w:rsid w:val="00BF7F31"/>
    <w:rsid w:val="00C01D79"/>
    <w:rsid w:val="00C022CC"/>
    <w:rsid w:val="00C02E28"/>
    <w:rsid w:val="00C0338E"/>
    <w:rsid w:val="00C04762"/>
    <w:rsid w:val="00C04771"/>
    <w:rsid w:val="00C04B43"/>
    <w:rsid w:val="00C04F06"/>
    <w:rsid w:val="00C05DCB"/>
    <w:rsid w:val="00C06E6D"/>
    <w:rsid w:val="00C07779"/>
    <w:rsid w:val="00C07DE0"/>
    <w:rsid w:val="00C11B11"/>
    <w:rsid w:val="00C12D17"/>
    <w:rsid w:val="00C130BF"/>
    <w:rsid w:val="00C1319A"/>
    <w:rsid w:val="00C141E3"/>
    <w:rsid w:val="00C144E8"/>
    <w:rsid w:val="00C14CE1"/>
    <w:rsid w:val="00C14F51"/>
    <w:rsid w:val="00C15123"/>
    <w:rsid w:val="00C16732"/>
    <w:rsid w:val="00C16A26"/>
    <w:rsid w:val="00C17966"/>
    <w:rsid w:val="00C21440"/>
    <w:rsid w:val="00C21D93"/>
    <w:rsid w:val="00C22658"/>
    <w:rsid w:val="00C24B3F"/>
    <w:rsid w:val="00C2527B"/>
    <w:rsid w:val="00C255D8"/>
    <w:rsid w:val="00C25889"/>
    <w:rsid w:val="00C25A58"/>
    <w:rsid w:val="00C25C9E"/>
    <w:rsid w:val="00C25DB9"/>
    <w:rsid w:val="00C25EC9"/>
    <w:rsid w:val="00C263A9"/>
    <w:rsid w:val="00C26C5B"/>
    <w:rsid w:val="00C27C14"/>
    <w:rsid w:val="00C27C66"/>
    <w:rsid w:val="00C300D0"/>
    <w:rsid w:val="00C3201F"/>
    <w:rsid w:val="00C326FF"/>
    <w:rsid w:val="00C3306C"/>
    <w:rsid w:val="00C332B6"/>
    <w:rsid w:val="00C33544"/>
    <w:rsid w:val="00C33719"/>
    <w:rsid w:val="00C33AC3"/>
    <w:rsid w:val="00C34788"/>
    <w:rsid w:val="00C352CD"/>
    <w:rsid w:val="00C3546F"/>
    <w:rsid w:val="00C37BE4"/>
    <w:rsid w:val="00C402C0"/>
    <w:rsid w:val="00C40FCD"/>
    <w:rsid w:val="00C41401"/>
    <w:rsid w:val="00C41B3C"/>
    <w:rsid w:val="00C42B39"/>
    <w:rsid w:val="00C42DC9"/>
    <w:rsid w:val="00C42F54"/>
    <w:rsid w:val="00C43DC8"/>
    <w:rsid w:val="00C44254"/>
    <w:rsid w:val="00C44600"/>
    <w:rsid w:val="00C44878"/>
    <w:rsid w:val="00C45288"/>
    <w:rsid w:val="00C45B4B"/>
    <w:rsid w:val="00C4609E"/>
    <w:rsid w:val="00C462D7"/>
    <w:rsid w:val="00C462E0"/>
    <w:rsid w:val="00C467C3"/>
    <w:rsid w:val="00C50A3E"/>
    <w:rsid w:val="00C50C76"/>
    <w:rsid w:val="00C51B72"/>
    <w:rsid w:val="00C51BF3"/>
    <w:rsid w:val="00C52987"/>
    <w:rsid w:val="00C53774"/>
    <w:rsid w:val="00C53946"/>
    <w:rsid w:val="00C5447B"/>
    <w:rsid w:val="00C54871"/>
    <w:rsid w:val="00C54D7B"/>
    <w:rsid w:val="00C54EB9"/>
    <w:rsid w:val="00C555E6"/>
    <w:rsid w:val="00C55B15"/>
    <w:rsid w:val="00C56F6C"/>
    <w:rsid w:val="00C603B0"/>
    <w:rsid w:val="00C60583"/>
    <w:rsid w:val="00C60661"/>
    <w:rsid w:val="00C61028"/>
    <w:rsid w:val="00C64225"/>
    <w:rsid w:val="00C70690"/>
    <w:rsid w:val="00C709BD"/>
    <w:rsid w:val="00C71E50"/>
    <w:rsid w:val="00C723C9"/>
    <w:rsid w:val="00C729D4"/>
    <w:rsid w:val="00C72A8F"/>
    <w:rsid w:val="00C7302C"/>
    <w:rsid w:val="00C738AD"/>
    <w:rsid w:val="00C74262"/>
    <w:rsid w:val="00C75C39"/>
    <w:rsid w:val="00C77907"/>
    <w:rsid w:val="00C77B7B"/>
    <w:rsid w:val="00C8052C"/>
    <w:rsid w:val="00C80830"/>
    <w:rsid w:val="00C8083D"/>
    <w:rsid w:val="00C810D5"/>
    <w:rsid w:val="00C82671"/>
    <w:rsid w:val="00C828B4"/>
    <w:rsid w:val="00C84E6D"/>
    <w:rsid w:val="00C859B1"/>
    <w:rsid w:val="00C85CCF"/>
    <w:rsid w:val="00C86B87"/>
    <w:rsid w:val="00C878D9"/>
    <w:rsid w:val="00C907AB"/>
    <w:rsid w:val="00C90D19"/>
    <w:rsid w:val="00C90FA8"/>
    <w:rsid w:val="00C9122C"/>
    <w:rsid w:val="00C922AF"/>
    <w:rsid w:val="00C928B6"/>
    <w:rsid w:val="00C929C0"/>
    <w:rsid w:val="00C940C0"/>
    <w:rsid w:val="00C954BB"/>
    <w:rsid w:val="00C95E66"/>
    <w:rsid w:val="00C969AC"/>
    <w:rsid w:val="00C97177"/>
    <w:rsid w:val="00C9767F"/>
    <w:rsid w:val="00C97AC7"/>
    <w:rsid w:val="00C97ACE"/>
    <w:rsid w:val="00CA081B"/>
    <w:rsid w:val="00CA0E37"/>
    <w:rsid w:val="00CA1237"/>
    <w:rsid w:val="00CA1B40"/>
    <w:rsid w:val="00CA3144"/>
    <w:rsid w:val="00CA3560"/>
    <w:rsid w:val="00CA441E"/>
    <w:rsid w:val="00CA564E"/>
    <w:rsid w:val="00CA5A48"/>
    <w:rsid w:val="00CA5CA0"/>
    <w:rsid w:val="00CA7470"/>
    <w:rsid w:val="00CA79B3"/>
    <w:rsid w:val="00CA7F58"/>
    <w:rsid w:val="00CB0726"/>
    <w:rsid w:val="00CB1667"/>
    <w:rsid w:val="00CB193E"/>
    <w:rsid w:val="00CB30A5"/>
    <w:rsid w:val="00CB42E2"/>
    <w:rsid w:val="00CB5B35"/>
    <w:rsid w:val="00CB5D31"/>
    <w:rsid w:val="00CB6556"/>
    <w:rsid w:val="00CB69DF"/>
    <w:rsid w:val="00CB7632"/>
    <w:rsid w:val="00CB7A43"/>
    <w:rsid w:val="00CC0136"/>
    <w:rsid w:val="00CC0587"/>
    <w:rsid w:val="00CC1418"/>
    <w:rsid w:val="00CC4444"/>
    <w:rsid w:val="00CC4800"/>
    <w:rsid w:val="00CC4A9F"/>
    <w:rsid w:val="00CC4C90"/>
    <w:rsid w:val="00CC51CD"/>
    <w:rsid w:val="00CC56FA"/>
    <w:rsid w:val="00CC5DCD"/>
    <w:rsid w:val="00CC6ACD"/>
    <w:rsid w:val="00CC6BB4"/>
    <w:rsid w:val="00CC7082"/>
    <w:rsid w:val="00CC713F"/>
    <w:rsid w:val="00CC7EB6"/>
    <w:rsid w:val="00CD0606"/>
    <w:rsid w:val="00CD0880"/>
    <w:rsid w:val="00CD10D4"/>
    <w:rsid w:val="00CD2AE2"/>
    <w:rsid w:val="00CD32F7"/>
    <w:rsid w:val="00CD3B5B"/>
    <w:rsid w:val="00CD5C30"/>
    <w:rsid w:val="00CD61C3"/>
    <w:rsid w:val="00CD6404"/>
    <w:rsid w:val="00CD713C"/>
    <w:rsid w:val="00CD7260"/>
    <w:rsid w:val="00CD7961"/>
    <w:rsid w:val="00CE0DBD"/>
    <w:rsid w:val="00CE2280"/>
    <w:rsid w:val="00CE2493"/>
    <w:rsid w:val="00CE28D7"/>
    <w:rsid w:val="00CE29DA"/>
    <w:rsid w:val="00CE2AD3"/>
    <w:rsid w:val="00CE2D78"/>
    <w:rsid w:val="00CE3CDC"/>
    <w:rsid w:val="00CE3E90"/>
    <w:rsid w:val="00CE4DC8"/>
    <w:rsid w:val="00CE4DD1"/>
    <w:rsid w:val="00CE4F09"/>
    <w:rsid w:val="00CE550C"/>
    <w:rsid w:val="00CE5D07"/>
    <w:rsid w:val="00CE5E17"/>
    <w:rsid w:val="00CE7043"/>
    <w:rsid w:val="00CE7E6A"/>
    <w:rsid w:val="00CF039B"/>
    <w:rsid w:val="00CF0BC9"/>
    <w:rsid w:val="00CF0D67"/>
    <w:rsid w:val="00CF10B4"/>
    <w:rsid w:val="00CF111F"/>
    <w:rsid w:val="00CF13D4"/>
    <w:rsid w:val="00CF1436"/>
    <w:rsid w:val="00CF1437"/>
    <w:rsid w:val="00CF2DA5"/>
    <w:rsid w:val="00CF3281"/>
    <w:rsid w:val="00CF378D"/>
    <w:rsid w:val="00CF3F97"/>
    <w:rsid w:val="00CF5142"/>
    <w:rsid w:val="00D01DD0"/>
    <w:rsid w:val="00D0298A"/>
    <w:rsid w:val="00D02AC0"/>
    <w:rsid w:val="00D04193"/>
    <w:rsid w:val="00D04196"/>
    <w:rsid w:val="00D0465E"/>
    <w:rsid w:val="00D058C9"/>
    <w:rsid w:val="00D05CAC"/>
    <w:rsid w:val="00D05D4D"/>
    <w:rsid w:val="00D05F72"/>
    <w:rsid w:val="00D061E5"/>
    <w:rsid w:val="00D0685A"/>
    <w:rsid w:val="00D068CA"/>
    <w:rsid w:val="00D10618"/>
    <w:rsid w:val="00D10DDE"/>
    <w:rsid w:val="00D123FE"/>
    <w:rsid w:val="00D12C90"/>
    <w:rsid w:val="00D12E5D"/>
    <w:rsid w:val="00D13E9C"/>
    <w:rsid w:val="00D13F5E"/>
    <w:rsid w:val="00D1453B"/>
    <w:rsid w:val="00D149AB"/>
    <w:rsid w:val="00D14A12"/>
    <w:rsid w:val="00D14E37"/>
    <w:rsid w:val="00D1546B"/>
    <w:rsid w:val="00D15712"/>
    <w:rsid w:val="00D160E7"/>
    <w:rsid w:val="00D175CB"/>
    <w:rsid w:val="00D20C5F"/>
    <w:rsid w:val="00D20D5F"/>
    <w:rsid w:val="00D21EB8"/>
    <w:rsid w:val="00D21F70"/>
    <w:rsid w:val="00D222E2"/>
    <w:rsid w:val="00D22786"/>
    <w:rsid w:val="00D234E4"/>
    <w:rsid w:val="00D2404A"/>
    <w:rsid w:val="00D244A2"/>
    <w:rsid w:val="00D25B04"/>
    <w:rsid w:val="00D267CB"/>
    <w:rsid w:val="00D26C07"/>
    <w:rsid w:val="00D2728E"/>
    <w:rsid w:val="00D27E4A"/>
    <w:rsid w:val="00D30490"/>
    <w:rsid w:val="00D31600"/>
    <w:rsid w:val="00D32041"/>
    <w:rsid w:val="00D325FE"/>
    <w:rsid w:val="00D3278D"/>
    <w:rsid w:val="00D32FA8"/>
    <w:rsid w:val="00D337DD"/>
    <w:rsid w:val="00D340DB"/>
    <w:rsid w:val="00D34CB5"/>
    <w:rsid w:val="00D35D08"/>
    <w:rsid w:val="00D35E91"/>
    <w:rsid w:val="00D36B0F"/>
    <w:rsid w:val="00D36DF4"/>
    <w:rsid w:val="00D371BD"/>
    <w:rsid w:val="00D4079E"/>
    <w:rsid w:val="00D4146A"/>
    <w:rsid w:val="00D4241E"/>
    <w:rsid w:val="00D42F85"/>
    <w:rsid w:val="00D436CE"/>
    <w:rsid w:val="00D442AE"/>
    <w:rsid w:val="00D442DF"/>
    <w:rsid w:val="00D45FF9"/>
    <w:rsid w:val="00D46287"/>
    <w:rsid w:val="00D46A1E"/>
    <w:rsid w:val="00D46BC2"/>
    <w:rsid w:val="00D46CD4"/>
    <w:rsid w:val="00D46D48"/>
    <w:rsid w:val="00D46FDA"/>
    <w:rsid w:val="00D47C58"/>
    <w:rsid w:val="00D50766"/>
    <w:rsid w:val="00D525D4"/>
    <w:rsid w:val="00D53415"/>
    <w:rsid w:val="00D53ABA"/>
    <w:rsid w:val="00D56D51"/>
    <w:rsid w:val="00D572D5"/>
    <w:rsid w:val="00D579F0"/>
    <w:rsid w:val="00D57A5E"/>
    <w:rsid w:val="00D57E45"/>
    <w:rsid w:val="00D6109D"/>
    <w:rsid w:val="00D62653"/>
    <w:rsid w:val="00D63317"/>
    <w:rsid w:val="00D634F5"/>
    <w:rsid w:val="00D63539"/>
    <w:rsid w:val="00D6412A"/>
    <w:rsid w:val="00D64CDD"/>
    <w:rsid w:val="00D64E69"/>
    <w:rsid w:val="00D6684A"/>
    <w:rsid w:val="00D66C3F"/>
    <w:rsid w:val="00D66CD2"/>
    <w:rsid w:val="00D6757D"/>
    <w:rsid w:val="00D7012D"/>
    <w:rsid w:val="00D70EF3"/>
    <w:rsid w:val="00D72350"/>
    <w:rsid w:val="00D73A9F"/>
    <w:rsid w:val="00D74D74"/>
    <w:rsid w:val="00D75AD4"/>
    <w:rsid w:val="00D760DF"/>
    <w:rsid w:val="00D76462"/>
    <w:rsid w:val="00D7672F"/>
    <w:rsid w:val="00D76AFB"/>
    <w:rsid w:val="00D76EAF"/>
    <w:rsid w:val="00D7740B"/>
    <w:rsid w:val="00D776C3"/>
    <w:rsid w:val="00D813C6"/>
    <w:rsid w:val="00D81EE6"/>
    <w:rsid w:val="00D821A5"/>
    <w:rsid w:val="00D83163"/>
    <w:rsid w:val="00D83A89"/>
    <w:rsid w:val="00D85390"/>
    <w:rsid w:val="00D8562F"/>
    <w:rsid w:val="00D859F1"/>
    <w:rsid w:val="00D86413"/>
    <w:rsid w:val="00D86532"/>
    <w:rsid w:val="00D8719E"/>
    <w:rsid w:val="00D87753"/>
    <w:rsid w:val="00D90272"/>
    <w:rsid w:val="00D9049E"/>
    <w:rsid w:val="00D90D29"/>
    <w:rsid w:val="00D915EF"/>
    <w:rsid w:val="00D91E20"/>
    <w:rsid w:val="00D923AA"/>
    <w:rsid w:val="00D924F5"/>
    <w:rsid w:val="00D92BB3"/>
    <w:rsid w:val="00D93AF6"/>
    <w:rsid w:val="00D93DBB"/>
    <w:rsid w:val="00D93DE0"/>
    <w:rsid w:val="00D945E8"/>
    <w:rsid w:val="00D95172"/>
    <w:rsid w:val="00D951A5"/>
    <w:rsid w:val="00D953D0"/>
    <w:rsid w:val="00D955B8"/>
    <w:rsid w:val="00D95F11"/>
    <w:rsid w:val="00D96597"/>
    <w:rsid w:val="00D9776A"/>
    <w:rsid w:val="00D97C00"/>
    <w:rsid w:val="00DA1290"/>
    <w:rsid w:val="00DA1399"/>
    <w:rsid w:val="00DA16B0"/>
    <w:rsid w:val="00DA180D"/>
    <w:rsid w:val="00DA1D94"/>
    <w:rsid w:val="00DA20E8"/>
    <w:rsid w:val="00DA28B8"/>
    <w:rsid w:val="00DA32FA"/>
    <w:rsid w:val="00DA4282"/>
    <w:rsid w:val="00DA441C"/>
    <w:rsid w:val="00DA6D0F"/>
    <w:rsid w:val="00DA7367"/>
    <w:rsid w:val="00DA7572"/>
    <w:rsid w:val="00DA7F80"/>
    <w:rsid w:val="00DB0C97"/>
    <w:rsid w:val="00DB0DCF"/>
    <w:rsid w:val="00DB156C"/>
    <w:rsid w:val="00DB1823"/>
    <w:rsid w:val="00DB1DF1"/>
    <w:rsid w:val="00DB1ED1"/>
    <w:rsid w:val="00DB1F38"/>
    <w:rsid w:val="00DB321D"/>
    <w:rsid w:val="00DB3932"/>
    <w:rsid w:val="00DB3EAC"/>
    <w:rsid w:val="00DB4176"/>
    <w:rsid w:val="00DB772B"/>
    <w:rsid w:val="00DC07C5"/>
    <w:rsid w:val="00DC093C"/>
    <w:rsid w:val="00DC0B0A"/>
    <w:rsid w:val="00DC12CA"/>
    <w:rsid w:val="00DC1F6D"/>
    <w:rsid w:val="00DC2105"/>
    <w:rsid w:val="00DC42B8"/>
    <w:rsid w:val="00DC4821"/>
    <w:rsid w:val="00DC5061"/>
    <w:rsid w:val="00DC5150"/>
    <w:rsid w:val="00DC5C38"/>
    <w:rsid w:val="00DC69D4"/>
    <w:rsid w:val="00DC70CD"/>
    <w:rsid w:val="00DC736E"/>
    <w:rsid w:val="00DC7EFD"/>
    <w:rsid w:val="00DD0852"/>
    <w:rsid w:val="00DD0B74"/>
    <w:rsid w:val="00DD0DE2"/>
    <w:rsid w:val="00DD0F6E"/>
    <w:rsid w:val="00DD1347"/>
    <w:rsid w:val="00DD1BAB"/>
    <w:rsid w:val="00DD2516"/>
    <w:rsid w:val="00DD2B70"/>
    <w:rsid w:val="00DD3567"/>
    <w:rsid w:val="00DD398A"/>
    <w:rsid w:val="00DD3AD6"/>
    <w:rsid w:val="00DD3CD4"/>
    <w:rsid w:val="00DD3F2C"/>
    <w:rsid w:val="00DD4539"/>
    <w:rsid w:val="00DD4A63"/>
    <w:rsid w:val="00DD4ADF"/>
    <w:rsid w:val="00DD5D27"/>
    <w:rsid w:val="00DE0370"/>
    <w:rsid w:val="00DE0E67"/>
    <w:rsid w:val="00DE1DF0"/>
    <w:rsid w:val="00DE219D"/>
    <w:rsid w:val="00DE2661"/>
    <w:rsid w:val="00DE2A3A"/>
    <w:rsid w:val="00DE51A4"/>
    <w:rsid w:val="00DE6B05"/>
    <w:rsid w:val="00DE70C0"/>
    <w:rsid w:val="00DE7D54"/>
    <w:rsid w:val="00DE7F21"/>
    <w:rsid w:val="00DF006B"/>
    <w:rsid w:val="00DF0C99"/>
    <w:rsid w:val="00DF1AE5"/>
    <w:rsid w:val="00DF2558"/>
    <w:rsid w:val="00DF2643"/>
    <w:rsid w:val="00DF2B5C"/>
    <w:rsid w:val="00DF2C6B"/>
    <w:rsid w:val="00DF350F"/>
    <w:rsid w:val="00DF46E4"/>
    <w:rsid w:val="00DF47FE"/>
    <w:rsid w:val="00DF4F10"/>
    <w:rsid w:val="00DF6479"/>
    <w:rsid w:val="00DF7391"/>
    <w:rsid w:val="00DF7A27"/>
    <w:rsid w:val="00E02FAA"/>
    <w:rsid w:val="00E03B1A"/>
    <w:rsid w:val="00E03EE5"/>
    <w:rsid w:val="00E040BC"/>
    <w:rsid w:val="00E04235"/>
    <w:rsid w:val="00E04632"/>
    <w:rsid w:val="00E046E6"/>
    <w:rsid w:val="00E05430"/>
    <w:rsid w:val="00E07A5D"/>
    <w:rsid w:val="00E107B8"/>
    <w:rsid w:val="00E11F36"/>
    <w:rsid w:val="00E12B22"/>
    <w:rsid w:val="00E13F7C"/>
    <w:rsid w:val="00E14249"/>
    <w:rsid w:val="00E1444A"/>
    <w:rsid w:val="00E14E53"/>
    <w:rsid w:val="00E15470"/>
    <w:rsid w:val="00E17A1D"/>
    <w:rsid w:val="00E20B42"/>
    <w:rsid w:val="00E21876"/>
    <w:rsid w:val="00E22E34"/>
    <w:rsid w:val="00E235C1"/>
    <w:rsid w:val="00E2400A"/>
    <w:rsid w:val="00E24830"/>
    <w:rsid w:val="00E24A15"/>
    <w:rsid w:val="00E25256"/>
    <w:rsid w:val="00E25BE8"/>
    <w:rsid w:val="00E2637A"/>
    <w:rsid w:val="00E26647"/>
    <w:rsid w:val="00E26AC0"/>
    <w:rsid w:val="00E272B8"/>
    <w:rsid w:val="00E27482"/>
    <w:rsid w:val="00E27895"/>
    <w:rsid w:val="00E300A4"/>
    <w:rsid w:val="00E303AA"/>
    <w:rsid w:val="00E306CD"/>
    <w:rsid w:val="00E30EFF"/>
    <w:rsid w:val="00E31F3E"/>
    <w:rsid w:val="00E3207C"/>
    <w:rsid w:val="00E324ED"/>
    <w:rsid w:val="00E3276E"/>
    <w:rsid w:val="00E32E50"/>
    <w:rsid w:val="00E32FB8"/>
    <w:rsid w:val="00E3306D"/>
    <w:rsid w:val="00E33C66"/>
    <w:rsid w:val="00E33E09"/>
    <w:rsid w:val="00E34B6E"/>
    <w:rsid w:val="00E35A4C"/>
    <w:rsid w:val="00E35B20"/>
    <w:rsid w:val="00E361E9"/>
    <w:rsid w:val="00E36236"/>
    <w:rsid w:val="00E36EFE"/>
    <w:rsid w:val="00E37E6C"/>
    <w:rsid w:val="00E37F82"/>
    <w:rsid w:val="00E404BE"/>
    <w:rsid w:val="00E40C87"/>
    <w:rsid w:val="00E41B6A"/>
    <w:rsid w:val="00E41B75"/>
    <w:rsid w:val="00E4317B"/>
    <w:rsid w:val="00E43C13"/>
    <w:rsid w:val="00E444F0"/>
    <w:rsid w:val="00E44763"/>
    <w:rsid w:val="00E45201"/>
    <w:rsid w:val="00E458DC"/>
    <w:rsid w:val="00E46C31"/>
    <w:rsid w:val="00E46DA7"/>
    <w:rsid w:val="00E4770C"/>
    <w:rsid w:val="00E479C8"/>
    <w:rsid w:val="00E5136C"/>
    <w:rsid w:val="00E51869"/>
    <w:rsid w:val="00E5215A"/>
    <w:rsid w:val="00E5313C"/>
    <w:rsid w:val="00E532A6"/>
    <w:rsid w:val="00E5637F"/>
    <w:rsid w:val="00E57331"/>
    <w:rsid w:val="00E57B51"/>
    <w:rsid w:val="00E60C7C"/>
    <w:rsid w:val="00E60E3A"/>
    <w:rsid w:val="00E60EA6"/>
    <w:rsid w:val="00E61555"/>
    <w:rsid w:val="00E62150"/>
    <w:rsid w:val="00E6254B"/>
    <w:rsid w:val="00E64287"/>
    <w:rsid w:val="00E64513"/>
    <w:rsid w:val="00E64766"/>
    <w:rsid w:val="00E657C5"/>
    <w:rsid w:val="00E67FC6"/>
    <w:rsid w:val="00E70524"/>
    <w:rsid w:val="00E709C5"/>
    <w:rsid w:val="00E71CCE"/>
    <w:rsid w:val="00E72026"/>
    <w:rsid w:val="00E72918"/>
    <w:rsid w:val="00E72A38"/>
    <w:rsid w:val="00E72B13"/>
    <w:rsid w:val="00E72D73"/>
    <w:rsid w:val="00E72E71"/>
    <w:rsid w:val="00E7304E"/>
    <w:rsid w:val="00E736A2"/>
    <w:rsid w:val="00E73748"/>
    <w:rsid w:val="00E7398B"/>
    <w:rsid w:val="00E74641"/>
    <w:rsid w:val="00E74806"/>
    <w:rsid w:val="00E753CB"/>
    <w:rsid w:val="00E76CC5"/>
    <w:rsid w:val="00E77368"/>
    <w:rsid w:val="00E7762B"/>
    <w:rsid w:val="00E777A2"/>
    <w:rsid w:val="00E80142"/>
    <w:rsid w:val="00E80963"/>
    <w:rsid w:val="00E80B80"/>
    <w:rsid w:val="00E81713"/>
    <w:rsid w:val="00E82076"/>
    <w:rsid w:val="00E837A0"/>
    <w:rsid w:val="00E83A37"/>
    <w:rsid w:val="00E841CB"/>
    <w:rsid w:val="00E84434"/>
    <w:rsid w:val="00E849BF"/>
    <w:rsid w:val="00E84C2C"/>
    <w:rsid w:val="00E84D12"/>
    <w:rsid w:val="00E84F8B"/>
    <w:rsid w:val="00E86210"/>
    <w:rsid w:val="00E866B2"/>
    <w:rsid w:val="00E87146"/>
    <w:rsid w:val="00E902B6"/>
    <w:rsid w:val="00E90302"/>
    <w:rsid w:val="00E915DA"/>
    <w:rsid w:val="00E91715"/>
    <w:rsid w:val="00E92C9D"/>
    <w:rsid w:val="00E93266"/>
    <w:rsid w:val="00E935AF"/>
    <w:rsid w:val="00E941D4"/>
    <w:rsid w:val="00E94C5A"/>
    <w:rsid w:val="00E94F8F"/>
    <w:rsid w:val="00E94FE6"/>
    <w:rsid w:val="00E95025"/>
    <w:rsid w:val="00E958FD"/>
    <w:rsid w:val="00E960A0"/>
    <w:rsid w:val="00E9631A"/>
    <w:rsid w:val="00E96721"/>
    <w:rsid w:val="00EA0CC1"/>
    <w:rsid w:val="00EA23F3"/>
    <w:rsid w:val="00EA2585"/>
    <w:rsid w:val="00EA359D"/>
    <w:rsid w:val="00EA3684"/>
    <w:rsid w:val="00EA39DA"/>
    <w:rsid w:val="00EA3C27"/>
    <w:rsid w:val="00EA3D68"/>
    <w:rsid w:val="00EA3FBA"/>
    <w:rsid w:val="00EA4913"/>
    <w:rsid w:val="00EA5236"/>
    <w:rsid w:val="00EA5314"/>
    <w:rsid w:val="00EA7665"/>
    <w:rsid w:val="00EB157F"/>
    <w:rsid w:val="00EB266B"/>
    <w:rsid w:val="00EB2B9B"/>
    <w:rsid w:val="00EB3CF0"/>
    <w:rsid w:val="00EB42D9"/>
    <w:rsid w:val="00EB4364"/>
    <w:rsid w:val="00EB5D66"/>
    <w:rsid w:val="00EB71A8"/>
    <w:rsid w:val="00EB7706"/>
    <w:rsid w:val="00EB7C46"/>
    <w:rsid w:val="00EC04A6"/>
    <w:rsid w:val="00EC099E"/>
    <w:rsid w:val="00EC0E80"/>
    <w:rsid w:val="00EC1D4E"/>
    <w:rsid w:val="00EC212A"/>
    <w:rsid w:val="00EC26F0"/>
    <w:rsid w:val="00EC291D"/>
    <w:rsid w:val="00EC2E46"/>
    <w:rsid w:val="00EC3256"/>
    <w:rsid w:val="00EC3B97"/>
    <w:rsid w:val="00EC53D1"/>
    <w:rsid w:val="00EC5AA4"/>
    <w:rsid w:val="00EC5D35"/>
    <w:rsid w:val="00EC61B8"/>
    <w:rsid w:val="00EC688E"/>
    <w:rsid w:val="00ED002B"/>
    <w:rsid w:val="00ED08B1"/>
    <w:rsid w:val="00ED10B6"/>
    <w:rsid w:val="00ED1661"/>
    <w:rsid w:val="00ED1A3E"/>
    <w:rsid w:val="00ED243E"/>
    <w:rsid w:val="00ED4306"/>
    <w:rsid w:val="00ED434E"/>
    <w:rsid w:val="00ED438B"/>
    <w:rsid w:val="00ED5470"/>
    <w:rsid w:val="00EE0BB8"/>
    <w:rsid w:val="00EE1776"/>
    <w:rsid w:val="00EE333F"/>
    <w:rsid w:val="00EE46A9"/>
    <w:rsid w:val="00EE47AD"/>
    <w:rsid w:val="00EE4C55"/>
    <w:rsid w:val="00EE588E"/>
    <w:rsid w:val="00EE58BB"/>
    <w:rsid w:val="00EE6D8F"/>
    <w:rsid w:val="00EE7497"/>
    <w:rsid w:val="00EE7565"/>
    <w:rsid w:val="00EE7A38"/>
    <w:rsid w:val="00EE7CCA"/>
    <w:rsid w:val="00EE7EB6"/>
    <w:rsid w:val="00EF03EC"/>
    <w:rsid w:val="00EF148B"/>
    <w:rsid w:val="00EF1D0D"/>
    <w:rsid w:val="00EF2268"/>
    <w:rsid w:val="00EF3024"/>
    <w:rsid w:val="00EF39A8"/>
    <w:rsid w:val="00EF4438"/>
    <w:rsid w:val="00EF456C"/>
    <w:rsid w:val="00EF465D"/>
    <w:rsid w:val="00EF487A"/>
    <w:rsid w:val="00EF508D"/>
    <w:rsid w:val="00EF6FBD"/>
    <w:rsid w:val="00EF70A2"/>
    <w:rsid w:val="00EF77F3"/>
    <w:rsid w:val="00F0046E"/>
    <w:rsid w:val="00F005A6"/>
    <w:rsid w:val="00F0078A"/>
    <w:rsid w:val="00F0094B"/>
    <w:rsid w:val="00F00B8D"/>
    <w:rsid w:val="00F01BA3"/>
    <w:rsid w:val="00F01DA2"/>
    <w:rsid w:val="00F01F8A"/>
    <w:rsid w:val="00F01FB6"/>
    <w:rsid w:val="00F031BD"/>
    <w:rsid w:val="00F03B24"/>
    <w:rsid w:val="00F03DA5"/>
    <w:rsid w:val="00F0480D"/>
    <w:rsid w:val="00F04EEE"/>
    <w:rsid w:val="00F06132"/>
    <w:rsid w:val="00F10589"/>
    <w:rsid w:val="00F10761"/>
    <w:rsid w:val="00F111BD"/>
    <w:rsid w:val="00F112F4"/>
    <w:rsid w:val="00F11AC2"/>
    <w:rsid w:val="00F11E87"/>
    <w:rsid w:val="00F12547"/>
    <w:rsid w:val="00F13295"/>
    <w:rsid w:val="00F139DA"/>
    <w:rsid w:val="00F13AA3"/>
    <w:rsid w:val="00F1427D"/>
    <w:rsid w:val="00F148D7"/>
    <w:rsid w:val="00F14DFD"/>
    <w:rsid w:val="00F15001"/>
    <w:rsid w:val="00F1703D"/>
    <w:rsid w:val="00F174C9"/>
    <w:rsid w:val="00F17CE0"/>
    <w:rsid w:val="00F202CA"/>
    <w:rsid w:val="00F20926"/>
    <w:rsid w:val="00F22365"/>
    <w:rsid w:val="00F225DF"/>
    <w:rsid w:val="00F226D1"/>
    <w:rsid w:val="00F22A9E"/>
    <w:rsid w:val="00F2316F"/>
    <w:rsid w:val="00F26BBD"/>
    <w:rsid w:val="00F302ED"/>
    <w:rsid w:val="00F30A8C"/>
    <w:rsid w:val="00F30E51"/>
    <w:rsid w:val="00F30F9A"/>
    <w:rsid w:val="00F31D36"/>
    <w:rsid w:val="00F33E85"/>
    <w:rsid w:val="00F33F5B"/>
    <w:rsid w:val="00F34901"/>
    <w:rsid w:val="00F34F5B"/>
    <w:rsid w:val="00F35604"/>
    <w:rsid w:val="00F366FA"/>
    <w:rsid w:val="00F37192"/>
    <w:rsid w:val="00F374D5"/>
    <w:rsid w:val="00F37DBD"/>
    <w:rsid w:val="00F40CE8"/>
    <w:rsid w:val="00F4258C"/>
    <w:rsid w:val="00F42CCA"/>
    <w:rsid w:val="00F432ED"/>
    <w:rsid w:val="00F4332D"/>
    <w:rsid w:val="00F4597D"/>
    <w:rsid w:val="00F4601E"/>
    <w:rsid w:val="00F46F3D"/>
    <w:rsid w:val="00F5043A"/>
    <w:rsid w:val="00F51C24"/>
    <w:rsid w:val="00F520D8"/>
    <w:rsid w:val="00F5283D"/>
    <w:rsid w:val="00F52895"/>
    <w:rsid w:val="00F5289E"/>
    <w:rsid w:val="00F528D3"/>
    <w:rsid w:val="00F528D6"/>
    <w:rsid w:val="00F530E5"/>
    <w:rsid w:val="00F533A3"/>
    <w:rsid w:val="00F53C94"/>
    <w:rsid w:val="00F53CCD"/>
    <w:rsid w:val="00F545FA"/>
    <w:rsid w:val="00F54714"/>
    <w:rsid w:val="00F57CAB"/>
    <w:rsid w:val="00F60A4A"/>
    <w:rsid w:val="00F61B86"/>
    <w:rsid w:val="00F62050"/>
    <w:rsid w:val="00F6208A"/>
    <w:rsid w:val="00F6259F"/>
    <w:rsid w:val="00F630C6"/>
    <w:rsid w:val="00F64369"/>
    <w:rsid w:val="00F645A7"/>
    <w:rsid w:val="00F64A07"/>
    <w:rsid w:val="00F650FA"/>
    <w:rsid w:val="00F6582A"/>
    <w:rsid w:val="00F66E6E"/>
    <w:rsid w:val="00F71A4C"/>
    <w:rsid w:val="00F71AF1"/>
    <w:rsid w:val="00F72EC5"/>
    <w:rsid w:val="00F73223"/>
    <w:rsid w:val="00F733E1"/>
    <w:rsid w:val="00F73457"/>
    <w:rsid w:val="00F73AAA"/>
    <w:rsid w:val="00F73C35"/>
    <w:rsid w:val="00F73C48"/>
    <w:rsid w:val="00F74202"/>
    <w:rsid w:val="00F74B3E"/>
    <w:rsid w:val="00F75329"/>
    <w:rsid w:val="00F75459"/>
    <w:rsid w:val="00F75ACA"/>
    <w:rsid w:val="00F7641E"/>
    <w:rsid w:val="00F77260"/>
    <w:rsid w:val="00F77EB4"/>
    <w:rsid w:val="00F8035B"/>
    <w:rsid w:val="00F80763"/>
    <w:rsid w:val="00F81748"/>
    <w:rsid w:val="00F81F6F"/>
    <w:rsid w:val="00F821DF"/>
    <w:rsid w:val="00F83E10"/>
    <w:rsid w:val="00F845A5"/>
    <w:rsid w:val="00F84774"/>
    <w:rsid w:val="00F84B94"/>
    <w:rsid w:val="00F87180"/>
    <w:rsid w:val="00F87714"/>
    <w:rsid w:val="00F877F2"/>
    <w:rsid w:val="00F87C71"/>
    <w:rsid w:val="00F915CB"/>
    <w:rsid w:val="00F91740"/>
    <w:rsid w:val="00F919A1"/>
    <w:rsid w:val="00F92551"/>
    <w:rsid w:val="00F92BF0"/>
    <w:rsid w:val="00F92D57"/>
    <w:rsid w:val="00F92D8E"/>
    <w:rsid w:val="00F93FCE"/>
    <w:rsid w:val="00F94137"/>
    <w:rsid w:val="00F94142"/>
    <w:rsid w:val="00F94B48"/>
    <w:rsid w:val="00F961C9"/>
    <w:rsid w:val="00F96E42"/>
    <w:rsid w:val="00FA0A7E"/>
    <w:rsid w:val="00FA0E7B"/>
    <w:rsid w:val="00FA0F33"/>
    <w:rsid w:val="00FA18AD"/>
    <w:rsid w:val="00FA283A"/>
    <w:rsid w:val="00FA2AF0"/>
    <w:rsid w:val="00FA2FBF"/>
    <w:rsid w:val="00FA47E8"/>
    <w:rsid w:val="00FA574D"/>
    <w:rsid w:val="00FA7218"/>
    <w:rsid w:val="00FA7340"/>
    <w:rsid w:val="00FA7810"/>
    <w:rsid w:val="00FA7C4A"/>
    <w:rsid w:val="00FA7DD4"/>
    <w:rsid w:val="00FB0D90"/>
    <w:rsid w:val="00FB1060"/>
    <w:rsid w:val="00FB1A7B"/>
    <w:rsid w:val="00FB2CE1"/>
    <w:rsid w:val="00FB3205"/>
    <w:rsid w:val="00FB3864"/>
    <w:rsid w:val="00FB4306"/>
    <w:rsid w:val="00FB4932"/>
    <w:rsid w:val="00FB4A74"/>
    <w:rsid w:val="00FB6F5A"/>
    <w:rsid w:val="00FB77C8"/>
    <w:rsid w:val="00FB785D"/>
    <w:rsid w:val="00FC0DE4"/>
    <w:rsid w:val="00FC0EEB"/>
    <w:rsid w:val="00FC1545"/>
    <w:rsid w:val="00FC167C"/>
    <w:rsid w:val="00FC1722"/>
    <w:rsid w:val="00FC2841"/>
    <w:rsid w:val="00FC4544"/>
    <w:rsid w:val="00FC4AF7"/>
    <w:rsid w:val="00FC551A"/>
    <w:rsid w:val="00FC5D98"/>
    <w:rsid w:val="00FC5E89"/>
    <w:rsid w:val="00FC7461"/>
    <w:rsid w:val="00FC781A"/>
    <w:rsid w:val="00FD063A"/>
    <w:rsid w:val="00FD12F1"/>
    <w:rsid w:val="00FD2127"/>
    <w:rsid w:val="00FD2AC5"/>
    <w:rsid w:val="00FD2FB1"/>
    <w:rsid w:val="00FD64F0"/>
    <w:rsid w:val="00FD6686"/>
    <w:rsid w:val="00FD7938"/>
    <w:rsid w:val="00FE1655"/>
    <w:rsid w:val="00FE1983"/>
    <w:rsid w:val="00FE5FDB"/>
    <w:rsid w:val="00FE60FC"/>
    <w:rsid w:val="00FE674C"/>
    <w:rsid w:val="00FE7321"/>
    <w:rsid w:val="00FE74B9"/>
    <w:rsid w:val="00FE7E78"/>
    <w:rsid w:val="00FF04D7"/>
    <w:rsid w:val="00FF1344"/>
    <w:rsid w:val="00FF196C"/>
    <w:rsid w:val="00FF275C"/>
    <w:rsid w:val="00FF39B0"/>
    <w:rsid w:val="00FF3C6A"/>
    <w:rsid w:val="00FF3CA3"/>
    <w:rsid w:val="00FF3F12"/>
    <w:rsid w:val="00FF4D9E"/>
    <w:rsid w:val="00FF572D"/>
    <w:rsid w:val="00FF696B"/>
    <w:rsid w:val="00FF6BC8"/>
    <w:rsid w:val="00FF6D82"/>
    <w:rsid w:val="00FF6F99"/>
    <w:rsid w:val="00FF7A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507D"/>
  <w15:chartTrackingRefBased/>
  <w15:docId w15:val="{045AAEB2-FD36-FD49-A409-97EE58A9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7C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3415C"/>
    <w:rPr>
      <w:color w:val="0563C1" w:themeColor="hyperlink"/>
      <w:u w:val="single"/>
    </w:rPr>
  </w:style>
  <w:style w:type="character" w:styleId="UnresolvedMention">
    <w:name w:val="Unresolved Mention"/>
    <w:basedOn w:val="DefaultParagraphFont"/>
    <w:uiPriority w:val="99"/>
    <w:semiHidden/>
    <w:unhideWhenUsed/>
    <w:rsid w:val="0083415C"/>
    <w:rPr>
      <w:color w:val="605E5C"/>
      <w:shd w:val="clear" w:color="auto" w:fill="E1DFDD"/>
    </w:rPr>
  </w:style>
  <w:style w:type="paragraph" w:styleId="Footer">
    <w:name w:val="footer"/>
    <w:basedOn w:val="Normal"/>
    <w:link w:val="FooterChar"/>
    <w:uiPriority w:val="99"/>
    <w:unhideWhenUsed/>
    <w:rsid w:val="001150D9"/>
    <w:pPr>
      <w:tabs>
        <w:tab w:val="center" w:pos="4513"/>
        <w:tab w:val="right" w:pos="9026"/>
      </w:tabs>
    </w:pPr>
  </w:style>
  <w:style w:type="character" w:customStyle="1" w:styleId="FooterChar">
    <w:name w:val="Footer Char"/>
    <w:basedOn w:val="DefaultParagraphFont"/>
    <w:link w:val="Footer"/>
    <w:uiPriority w:val="99"/>
    <w:rsid w:val="001150D9"/>
  </w:style>
  <w:style w:type="character" w:styleId="PageNumber">
    <w:name w:val="page number"/>
    <w:basedOn w:val="DefaultParagraphFont"/>
    <w:uiPriority w:val="99"/>
    <w:semiHidden/>
    <w:unhideWhenUsed/>
    <w:rsid w:val="001150D9"/>
  </w:style>
  <w:style w:type="table" w:styleId="TableGrid">
    <w:name w:val="Table Grid"/>
    <w:basedOn w:val="TableNormal"/>
    <w:uiPriority w:val="39"/>
    <w:rsid w:val="00F5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BBD"/>
    <w:rPr>
      <w:sz w:val="16"/>
      <w:szCs w:val="16"/>
    </w:rPr>
  </w:style>
  <w:style w:type="paragraph" w:styleId="CommentText">
    <w:name w:val="annotation text"/>
    <w:basedOn w:val="Normal"/>
    <w:link w:val="CommentTextChar"/>
    <w:uiPriority w:val="99"/>
    <w:unhideWhenUsed/>
    <w:rsid w:val="00F26BBD"/>
    <w:rPr>
      <w:sz w:val="20"/>
      <w:szCs w:val="20"/>
    </w:rPr>
  </w:style>
  <w:style w:type="character" w:customStyle="1" w:styleId="CommentTextChar">
    <w:name w:val="Comment Text Char"/>
    <w:basedOn w:val="DefaultParagraphFont"/>
    <w:link w:val="CommentText"/>
    <w:uiPriority w:val="99"/>
    <w:rsid w:val="00F26BBD"/>
    <w:rPr>
      <w:sz w:val="20"/>
      <w:szCs w:val="20"/>
    </w:rPr>
  </w:style>
  <w:style w:type="paragraph" w:styleId="CommentSubject">
    <w:name w:val="annotation subject"/>
    <w:basedOn w:val="CommentText"/>
    <w:next w:val="CommentText"/>
    <w:link w:val="CommentSubjectChar"/>
    <w:uiPriority w:val="99"/>
    <w:semiHidden/>
    <w:unhideWhenUsed/>
    <w:rsid w:val="00F26BBD"/>
    <w:rPr>
      <w:b/>
      <w:bCs/>
    </w:rPr>
  </w:style>
  <w:style w:type="character" w:customStyle="1" w:styleId="CommentSubjectChar">
    <w:name w:val="Comment Subject Char"/>
    <w:basedOn w:val="CommentTextChar"/>
    <w:link w:val="CommentSubject"/>
    <w:uiPriority w:val="99"/>
    <w:semiHidden/>
    <w:rsid w:val="00F26BBD"/>
    <w:rPr>
      <w:b/>
      <w:bCs/>
      <w:sz w:val="20"/>
      <w:szCs w:val="20"/>
    </w:rPr>
  </w:style>
  <w:style w:type="paragraph" w:styleId="Header">
    <w:name w:val="header"/>
    <w:basedOn w:val="Normal"/>
    <w:link w:val="HeaderChar"/>
    <w:uiPriority w:val="99"/>
    <w:unhideWhenUsed/>
    <w:rsid w:val="00E12B22"/>
    <w:pPr>
      <w:tabs>
        <w:tab w:val="center" w:pos="4513"/>
        <w:tab w:val="right" w:pos="9026"/>
      </w:tabs>
    </w:pPr>
  </w:style>
  <w:style w:type="character" w:customStyle="1" w:styleId="HeaderChar">
    <w:name w:val="Header Char"/>
    <w:basedOn w:val="DefaultParagraphFont"/>
    <w:link w:val="Header"/>
    <w:uiPriority w:val="99"/>
    <w:rsid w:val="00E12B22"/>
  </w:style>
  <w:style w:type="paragraph" w:styleId="Revision">
    <w:name w:val="Revision"/>
    <w:hidden/>
    <w:uiPriority w:val="99"/>
    <w:semiHidden/>
    <w:rsid w:val="002321CA"/>
  </w:style>
  <w:style w:type="paragraph" w:styleId="ListParagraph">
    <w:name w:val="List Paragraph"/>
    <w:basedOn w:val="Normal"/>
    <w:uiPriority w:val="34"/>
    <w:qFormat/>
    <w:rsid w:val="00B900AD"/>
    <w:pPr>
      <w:ind w:left="720"/>
      <w:contextualSpacing/>
    </w:pPr>
  </w:style>
  <w:style w:type="character" w:styleId="LineNumber">
    <w:name w:val="line number"/>
    <w:basedOn w:val="DefaultParagraphFont"/>
    <w:uiPriority w:val="99"/>
    <w:semiHidden/>
    <w:unhideWhenUsed/>
    <w:rsid w:val="001A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927">
      <w:bodyDiv w:val="1"/>
      <w:marLeft w:val="0"/>
      <w:marRight w:val="0"/>
      <w:marTop w:val="0"/>
      <w:marBottom w:val="0"/>
      <w:divBdr>
        <w:top w:val="none" w:sz="0" w:space="0" w:color="auto"/>
        <w:left w:val="none" w:sz="0" w:space="0" w:color="auto"/>
        <w:bottom w:val="none" w:sz="0" w:space="0" w:color="auto"/>
        <w:right w:val="none" w:sz="0" w:space="0" w:color="auto"/>
      </w:divBdr>
    </w:div>
    <w:div w:id="99574208">
      <w:bodyDiv w:val="1"/>
      <w:marLeft w:val="0"/>
      <w:marRight w:val="0"/>
      <w:marTop w:val="0"/>
      <w:marBottom w:val="0"/>
      <w:divBdr>
        <w:top w:val="none" w:sz="0" w:space="0" w:color="auto"/>
        <w:left w:val="none" w:sz="0" w:space="0" w:color="auto"/>
        <w:bottom w:val="none" w:sz="0" w:space="0" w:color="auto"/>
        <w:right w:val="none" w:sz="0" w:space="0" w:color="auto"/>
      </w:divBdr>
    </w:div>
    <w:div w:id="276911771">
      <w:bodyDiv w:val="1"/>
      <w:marLeft w:val="0"/>
      <w:marRight w:val="0"/>
      <w:marTop w:val="0"/>
      <w:marBottom w:val="0"/>
      <w:divBdr>
        <w:top w:val="none" w:sz="0" w:space="0" w:color="auto"/>
        <w:left w:val="none" w:sz="0" w:space="0" w:color="auto"/>
        <w:bottom w:val="none" w:sz="0" w:space="0" w:color="auto"/>
        <w:right w:val="none" w:sz="0" w:space="0" w:color="auto"/>
      </w:divBdr>
      <w:divsChild>
        <w:div w:id="59789098">
          <w:marLeft w:val="0"/>
          <w:marRight w:val="0"/>
          <w:marTop w:val="0"/>
          <w:marBottom w:val="0"/>
          <w:divBdr>
            <w:top w:val="none" w:sz="0" w:space="0" w:color="auto"/>
            <w:left w:val="none" w:sz="0" w:space="0" w:color="auto"/>
            <w:bottom w:val="none" w:sz="0" w:space="0" w:color="auto"/>
            <w:right w:val="none" w:sz="0" w:space="0" w:color="auto"/>
          </w:divBdr>
          <w:divsChild>
            <w:div w:id="880895567">
              <w:marLeft w:val="0"/>
              <w:marRight w:val="0"/>
              <w:marTop w:val="0"/>
              <w:marBottom w:val="0"/>
              <w:divBdr>
                <w:top w:val="none" w:sz="0" w:space="0" w:color="auto"/>
                <w:left w:val="none" w:sz="0" w:space="0" w:color="auto"/>
                <w:bottom w:val="none" w:sz="0" w:space="0" w:color="auto"/>
                <w:right w:val="none" w:sz="0" w:space="0" w:color="auto"/>
              </w:divBdr>
              <w:divsChild>
                <w:div w:id="13177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86419558">
      <w:bodyDiv w:val="1"/>
      <w:marLeft w:val="0"/>
      <w:marRight w:val="0"/>
      <w:marTop w:val="0"/>
      <w:marBottom w:val="0"/>
      <w:divBdr>
        <w:top w:val="none" w:sz="0" w:space="0" w:color="auto"/>
        <w:left w:val="none" w:sz="0" w:space="0" w:color="auto"/>
        <w:bottom w:val="none" w:sz="0" w:space="0" w:color="auto"/>
        <w:right w:val="none" w:sz="0" w:space="0" w:color="auto"/>
      </w:divBdr>
    </w:div>
    <w:div w:id="448282769">
      <w:bodyDiv w:val="1"/>
      <w:marLeft w:val="0"/>
      <w:marRight w:val="0"/>
      <w:marTop w:val="0"/>
      <w:marBottom w:val="0"/>
      <w:divBdr>
        <w:top w:val="none" w:sz="0" w:space="0" w:color="auto"/>
        <w:left w:val="none" w:sz="0" w:space="0" w:color="auto"/>
        <w:bottom w:val="none" w:sz="0" w:space="0" w:color="auto"/>
        <w:right w:val="none" w:sz="0" w:space="0" w:color="auto"/>
      </w:divBdr>
    </w:div>
    <w:div w:id="704645236">
      <w:bodyDiv w:val="1"/>
      <w:marLeft w:val="0"/>
      <w:marRight w:val="0"/>
      <w:marTop w:val="0"/>
      <w:marBottom w:val="0"/>
      <w:divBdr>
        <w:top w:val="none" w:sz="0" w:space="0" w:color="auto"/>
        <w:left w:val="none" w:sz="0" w:space="0" w:color="auto"/>
        <w:bottom w:val="none" w:sz="0" w:space="0" w:color="auto"/>
        <w:right w:val="none" w:sz="0" w:space="0" w:color="auto"/>
      </w:divBdr>
    </w:div>
    <w:div w:id="706182667">
      <w:bodyDiv w:val="1"/>
      <w:marLeft w:val="0"/>
      <w:marRight w:val="0"/>
      <w:marTop w:val="0"/>
      <w:marBottom w:val="0"/>
      <w:divBdr>
        <w:top w:val="none" w:sz="0" w:space="0" w:color="auto"/>
        <w:left w:val="none" w:sz="0" w:space="0" w:color="auto"/>
        <w:bottom w:val="none" w:sz="0" w:space="0" w:color="auto"/>
        <w:right w:val="none" w:sz="0" w:space="0" w:color="auto"/>
      </w:divBdr>
      <w:divsChild>
        <w:div w:id="1915163287">
          <w:marLeft w:val="0"/>
          <w:marRight w:val="0"/>
          <w:marTop w:val="0"/>
          <w:marBottom w:val="0"/>
          <w:divBdr>
            <w:top w:val="none" w:sz="0" w:space="0" w:color="auto"/>
            <w:left w:val="none" w:sz="0" w:space="0" w:color="auto"/>
            <w:bottom w:val="none" w:sz="0" w:space="0" w:color="auto"/>
            <w:right w:val="none" w:sz="0" w:space="0" w:color="auto"/>
          </w:divBdr>
          <w:divsChild>
            <w:div w:id="1714840322">
              <w:marLeft w:val="0"/>
              <w:marRight w:val="0"/>
              <w:marTop w:val="0"/>
              <w:marBottom w:val="0"/>
              <w:divBdr>
                <w:top w:val="none" w:sz="0" w:space="0" w:color="auto"/>
                <w:left w:val="none" w:sz="0" w:space="0" w:color="auto"/>
                <w:bottom w:val="none" w:sz="0" w:space="0" w:color="auto"/>
                <w:right w:val="none" w:sz="0" w:space="0" w:color="auto"/>
              </w:divBdr>
              <w:divsChild>
                <w:div w:id="5712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2876">
      <w:bodyDiv w:val="1"/>
      <w:marLeft w:val="0"/>
      <w:marRight w:val="0"/>
      <w:marTop w:val="0"/>
      <w:marBottom w:val="0"/>
      <w:divBdr>
        <w:top w:val="none" w:sz="0" w:space="0" w:color="auto"/>
        <w:left w:val="none" w:sz="0" w:space="0" w:color="auto"/>
        <w:bottom w:val="none" w:sz="0" w:space="0" w:color="auto"/>
        <w:right w:val="none" w:sz="0" w:space="0" w:color="auto"/>
      </w:divBdr>
    </w:div>
    <w:div w:id="959066686">
      <w:bodyDiv w:val="1"/>
      <w:marLeft w:val="0"/>
      <w:marRight w:val="0"/>
      <w:marTop w:val="0"/>
      <w:marBottom w:val="0"/>
      <w:divBdr>
        <w:top w:val="none" w:sz="0" w:space="0" w:color="auto"/>
        <w:left w:val="none" w:sz="0" w:space="0" w:color="auto"/>
        <w:bottom w:val="none" w:sz="0" w:space="0" w:color="auto"/>
        <w:right w:val="none" w:sz="0" w:space="0" w:color="auto"/>
      </w:divBdr>
    </w:div>
    <w:div w:id="1095786068">
      <w:bodyDiv w:val="1"/>
      <w:marLeft w:val="0"/>
      <w:marRight w:val="0"/>
      <w:marTop w:val="0"/>
      <w:marBottom w:val="0"/>
      <w:divBdr>
        <w:top w:val="none" w:sz="0" w:space="0" w:color="auto"/>
        <w:left w:val="none" w:sz="0" w:space="0" w:color="auto"/>
        <w:bottom w:val="none" w:sz="0" w:space="0" w:color="auto"/>
        <w:right w:val="none" w:sz="0" w:space="0" w:color="auto"/>
      </w:divBdr>
      <w:divsChild>
        <w:div w:id="707990748">
          <w:marLeft w:val="0"/>
          <w:marRight w:val="0"/>
          <w:marTop w:val="0"/>
          <w:marBottom w:val="0"/>
          <w:divBdr>
            <w:top w:val="none" w:sz="0" w:space="0" w:color="auto"/>
            <w:left w:val="none" w:sz="0" w:space="0" w:color="auto"/>
            <w:bottom w:val="none" w:sz="0" w:space="0" w:color="auto"/>
            <w:right w:val="none" w:sz="0" w:space="0" w:color="auto"/>
          </w:divBdr>
        </w:div>
      </w:divsChild>
    </w:div>
    <w:div w:id="1193811852">
      <w:bodyDiv w:val="1"/>
      <w:marLeft w:val="0"/>
      <w:marRight w:val="0"/>
      <w:marTop w:val="0"/>
      <w:marBottom w:val="0"/>
      <w:divBdr>
        <w:top w:val="none" w:sz="0" w:space="0" w:color="auto"/>
        <w:left w:val="none" w:sz="0" w:space="0" w:color="auto"/>
        <w:bottom w:val="none" w:sz="0" w:space="0" w:color="auto"/>
        <w:right w:val="none" w:sz="0" w:space="0" w:color="auto"/>
      </w:divBdr>
    </w:div>
    <w:div w:id="1204826115">
      <w:bodyDiv w:val="1"/>
      <w:marLeft w:val="0"/>
      <w:marRight w:val="0"/>
      <w:marTop w:val="0"/>
      <w:marBottom w:val="0"/>
      <w:divBdr>
        <w:top w:val="none" w:sz="0" w:space="0" w:color="auto"/>
        <w:left w:val="none" w:sz="0" w:space="0" w:color="auto"/>
        <w:bottom w:val="none" w:sz="0" w:space="0" w:color="auto"/>
        <w:right w:val="none" w:sz="0" w:space="0" w:color="auto"/>
      </w:divBdr>
    </w:div>
    <w:div w:id="1204946762">
      <w:bodyDiv w:val="1"/>
      <w:marLeft w:val="0"/>
      <w:marRight w:val="0"/>
      <w:marTop w:val="0"/>
      <w:marBottom w:val="0"/>
      <w:divBdr>
        <w:top w:val="none" w:sz="0" w:space="0" w:color="auto"/>
        <w:left w:val="none" w:sz="0" w:space="0" w:color="auto"/>
        <w:bottom w:val="none" w:sz="0" w:space="0" w:color="auto"/>
        <w:right w:val="none" w:sz="0" w:space="0" w:color="auto"/>
      </w:divBdr>
    </w:div>
    <w:div w:id="1225407882">
      <w:bodyDiv w:val="1"/>
      <w:marLeft w:val="0"/>
      <w:marRight w:val="0"/>
      <w:marTop w:val="0"/>
      <w:marBottom w:val="0"/>
      <w:divBdr>
        <w:top w:val="none" w:sz="0" w:space="0" w:color="auto"/>
        <w:left w:val="none" w:sz="0" w:space="0" w:color="auto"/>
        <w:bottom w:val="none" w:sz="0" w:space="0" w:color="auto"/>
        <w:right w:val="none" w:sz="0" w:space="0" w:color="auto"/>
      </w:divBdr>
    </w:div>
    <w:div w:id="1365329954">
      <w:bodyDiv w:val="1"/>
      <w:marLeft w:val="0"/>
      <w:marRight w:val="0"/>
      <w:marTop w:val="0"/>
      <w:marBottom w:val="0"/>
      <w:divBdr>
        <w:top w:val="none" w:sz="0" w:space="0" w:color="auto"/>
        <w:left w:val="none" w:sz="0" w:space="0" w:color="auto"/>
        <w:bottom w:val="none" w:sz="0" w:space="0" w:color="auto"/>
        <w:right w:val="none" w:sz="0" w:space="0" w:color="auto"/>
      </w:divBdr>
    </w:div>
    <w:div w:id="1448430786">
      <w:bodyDiv w:val="1"/>
      <w:marLeft w:val="0"/>
      <w:marRight w:val="0"/>
      <w:marTop w:val="0"/>
      <w:marBottom w:val="0"/>
      <w:divBdr>
        <w:top w:val="none" w:sz="0" w:space="0" w:color="auto"/>
        <w:left w:val="none" w:sz="0" w:space="0" w:color="auto"/>
        <w:bottom w:val="none" w:sz="0" w:space="0" w:color="auto"/>
        <w:right w:val="none" w:sz="0" w:space="0" w:color="auto"/>
      </w:divBdr>
    </w:div>
    <w:div w:id="1500272060">
      <w:bodyDiv w:val="1"/>
      <w:marLeft w:val="0"/>
      <w:marRight w:val="0"/>
      <w:marTop w:val="0"/>
      <w:marBottom w:val="0"/>
      <w:divBdr>
        <w:top w:val="none" w:sz="0" w:space="0" w:color="auto"/>
        <w:left w:val="none" w:sz="0" w:space="0" w:color="auto"/>
        <w:bottom w:val="none" w:sz="0" w:space="0" w:color="auto"/>
        <w:right w:val="none" w:sz="0" w:space="0" w:color="auto"/>
      </w:divBdr>
    </w:div>
    <w:div w:id="1512915555">
      <w:bodyDiv w:val="1"/>
      <w:marLeft w:val="0"/>
      <w:marRight w:val="0"/>
      <w:marTop w:val="0"/>
      <w:marBottom w:val="0"/>
      <w:divBdr>
        <w:top w:val="none" w:sz="0" w:space="0" w:color="auto"/>
        <w:left w:val="none" w:sz="0" w:space="0" w:color="auto"/>
        <w:bottom w:val="none" w:sz="0" w:space="0" w:color="auto"/>
        <w:right w:val="none" w:sz="0" w:space="0" w:color="auto"/>
      </w:divBdr>
    </w:div>
    <w:div w:id="1614362338">
      <w:bodyDiv w:val="1"/>
      <w:marLeft w:val="0"/>
      <w:marRight w:val="0"/>
      <w:marTop w:val="0"/>
      <w:marBottom w:val="0"/>
      <w:divBdr>
        <w:top w:val="none" w:sz="0" w:space="0" w:color="auto"/>
        <w:left w:val="none" w:sz="0" w:space="0" w:color="auto"/>
        <w:bottom w:val="none" w:sz="0" w:space="0" w:color="auto"/>
        <w:right w:val="none" w:sz="0" w:space="0" w:color="auto"/>
      </w:divBdr>
    </w:div>
    <w:div w:id="1621568733">
      <w:bodyDiv w:val="1"/>
      <w:marLeft w:val="0"/>
      <w:marRight w:val="0"/>
      <w:marTop w:val="0"/>
      <w:marBottom w:val="0"/>
      <w:divBdr>
        <w:top w:val="none" w:sz="0" w:space="0" w:color="auto"/>
        <w:left w:val="none" w:sz="0" w:space="0" w:color="auto"/>
        <w:bottom w:val="none" w:sz="0" w:space="0" w:color="auto"/>
        <w:right w:val="none" w:sz="0" w:space="0" w:color="auto"/>
      </w:divBdr>
    </w:div>
    <w:div w:id="1776050727">
      <w:bodyDiv w:val="1"/>
      <w:marLeft w:val="0"/>
      <w:marRight w:val="0"/>
      <w:marTop w:val="0"/>
      <w:marBottom w:val="0"/>
      <w:divBdr>
        <w:top w:val="none" w:sz="0" w:space="0" w:color="auto"/>
        <w:left w:val="none" w:sz="0" w:space="0" w:color="auto"/>
        <w:bottom w:val="none" w:sz="0" w:space="0" w:color="auto"/>
        <w:right w:val="none" w:sz="0" w:space="0" w:color="auto"/>
      </w:divBdr>
    </w:div>
    <w:div w:id="1788309706">
      <w:bodyDiv w:val="1"/>
      <w:marLeft w:val="0"/>
      <w:marRight w:val="0"/>
      <w:marTop w:val="0"/>
      <w:marBottom w:val="0"/>
      <w:divBdr>
        <w:top w:val="none" w:sz="0" w:space="0" w:color="auto"/>
        <w:left w:val="none" w:sz="0" w:space="0" w:color="auto"/>
        <w:bottom w:val="none" w:sz="0" w:space="0" w:color="auto"/>
        <w:right w:val="none" w:sz="0" w:space="0" w:color="auto"/>
      </w:divBdr>
    </w:div>
    <w:div w:id="1795293803">
      <w:bodyDiv w:val="1"/>
      <w:marLeft w:val="0"/>
      <w:marRight w:val="0"/>
      <w:marTop w:val="0"/>
      <w:marBottom w:val="0"/>
      <w:divBdr>
        <w:top w:val="none" w:sz="0" w:space="0" w:color="auto"/>
        <w:left w:val="none" w:sz="0" w:space="0" w:color="auto"/>
        <w:bottom w:val="none" w:sz="0" w:space="0" w:color="auto"/>
        <w:right w:val="none" w:sz="0" w:space="0" w:color="auto"/>
      </w:divBdr>
    </w:div>
    <w:div w:id="1808812185">
      <w:bodyDiv w:val="1"/>
      <w:marLeft w:val="0"/>
      <w:marRight w:val="0"/>
      <w:marTop w:val="0"/>
      <w:marBottom w:val="0"/>
      <w:divBdr>
        <w:top w:val="none" w:sz="0" w:space="0" w:color="auto"/>
        <w:left w:val="none" w:sz="0" w:space="0" w:color="auto"/>
        <w:bottom w:val="none" w:sz="0" w:space="0" w:color="auto"/>
        <w:right w:val="none" w:sz="0" w:space="0" w:color="auto"/>
      </w:divBdr>
      <w:divsChild>
        <w:div w:id="245457699">
          <w:marLeft w:val="0"/>
          <w:marRight w:val="0"/>
          <w:marTop w:val="0"/>
          <w:marBottom w:val="0"/>
          <w:divBdr>
            <w:top w:val="none" w:sz="0" w:space="0" w:color="auto"/>
            <w:left w:val="none" w:sz="0" w:space="0" w:color="auto"/>
            <w:bottom w:val="none" w:sz="0" w:space="0" w:color="auto"/>
            <w:right w:val="none" w:sz="0" w:space="0" w:color="auto"/>
          </w:divBdr>
          <w:divsChild>
            <w:div w:id="1788741349">
              <w:marLeft w:val="0"/>
              <w:marRight w:val="0"/>
              <w:marTop w:val="0"/>
              <w:marBottom w:val="0"/>
              <w:divBdr>
                <w:top w:val="none" w:sz="0" w:space="0" w:color="auto"/>
                <w:left w:val="none" w:sz="0" w:space="0" w:color="auto"/>
                <w:bottom w:val="none" w:sz="0" w:space="0" w:color="auto"/>
                <w:right w:val="none" w:sz="0" w:space="0" w:color="auto"/>
              </w:divBdr>
              <w:divsChild>
                <w:div w:id="1064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40">
      <w:bodyDiv w:val="1"/>
      <w:marLeft w:val="0"/>
      <w:marRight w:val="0"/>
      <w:marTop w:val="0"/>
      <w:marBottom w:val="0"/>
      <w:divBdr>
        <w:top w:val="none" w:sz="0" w:space="0" w:color="auto"/>
        <w:left w:val="none" w:sz="0" w:space="0" w:color="auto"/>
        <w:bottom w:val="none" w:sz="0" w:space="0" w:color="auto"/>
        <w:right w:val="none" w:sz="0" w:space="0" w:color="auto"/>
      </w:divBdr>
    </w:div>
    <w:div w:id="1863664083">
      <w:bodyDiv w:val="1"/>
      <w:marLeft w:val="0"/>
      <w:marRight w:val="0"/>
      <w:marTop w:val="0"/>
      <w:marBottom w:val="0"/>
      <w:divBdr>
        <w:top w:val="none" w:sz="0" w:space="0" w:color="auto"/>
        <w:left w:val="none" w:sz="0" w:space="0" w:color="auto"/>
        <w:bottom w:val="none" w:sz="0" w:space="0" w:color="auto"/>
        <w:right w:val="none" w:sz="0" w:space="0" w:color="auto"/>
      </w:divBdr>
    </w:div>
    <w:div w:id="1965572480">
      <w:bodyDiv w:val="1"/>
      <w:marLeft w:val="0"/>
      <w:marRight w:val="0"/>
      <w:marTop w:val="0"/>
      <w:marBottom w:val="0"/>
      <w:divBdr>
        <w:top w:val="none" w:sz="0" w:space="0" w:color="auto"/>
        <w:left w:val="none" w:sz="0" w:space="0" w:color="auto"/>
        <w:bottom w:val="none" w:sz="0" w:space="0" w:color="auto"/>
        <w:right w:val="none" w:sz="0" w:space="0" w:color="auto"/>
      </w:divBdr>
    </w:div>
    <w:div w:id="2070761847">
      <w:bodyDiv w:val="1"/>
      <w:marLeft w:val="0"/>
      <w:marRight w:val="0"/>
      <w:marTop w:val="0"/>
      <w:marBottom w:val="0"/>
      <w:divBdr>
        <w:top w:val="none" w:sz="0" w:space="0" w:color="auto"/>
        <w:left w:val="none" w:sz="0" w:space="0" w:color="auto"/>
        <w:bottom w:val="none" w:sz="0" w:space="0" w:color="auto"/>
        <w:right w:val="none" w:sz="0" w:space="0" w:color="auto"/>
      </w:divBdr>
    </w:div>
    <w:div w:id="2074505104">
      <w:bodyDiv w:val="1"/>
      <w:marLeft w:val="0"/>
      <w:marRight w:val="0"/>
      <w:marTop w:val="0"/>
      <w:marBottom w:val="0"/>
      <w:divBdr>
        <w:top w:val="none" w:sz="0" w:space="0" w:color="auto"/>
        <w:left w:val="none" w:sz="0" w:space="0" w:color="auto"/>
        <w:bottom w:val="none" w:sz="0" w:space="0" w:color="auto"/>
        <w:right w:val="none" w:sz="0" w:space="0" w:color="auto"/>
      </w:divBdr>
    </w:div>
    <w:div w:id="21249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rodriguez.loureiro@vub.be" TargetMode="External"/><Relationship Id="rId13" Type="http://schemas.openxmlformats.org/officeDocument/2006/relationships/hyperlink" Target="https://statbel.fgov.be/en"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celine.b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1A4EB05C30D0418E775B1FB91D3600" ma:contentTypeVersion="14" ma:contentTypeDescription="Create a new document." ma:contentTypeScope="" ma:versionID="83282de58e096dc757d6ad59900e8217">
  <xsd:schema xmlns:xsd="http://www.w3.org/2001/XMLSchema" xmlns:xs="http://www.w3.org/2001/XMLSchema" xmlns:p="http://schemas.microsoft.com/office/2006/metadata/properties" xmlns:ns2="94d82011-c13c-4673-9108-9104f0859791" targetNamespace="http://schemas.microsoft.com/office/2006/metadata/properties" ma:root="true" ma:fieldsID="9b59b4f5630bc4d667fdc5fb5dbd453d" ns2:_="">
    <xsd:import namespace="94d82011-c13c-4673-9108-9104f0859791"/>
    <xsd:element name="properties">
      <xsd:complexType>
        <xsd:sequence>
          <xsd:element name="documentManagement">
            <xsd:complexType>
              <xsd:all>
                <xsd:element ref="ns2:Comments" minOccurs="0"/>
                <xsd:element ref="ns2:PublicURL"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DOI" minOccurs="0"/>
                <xsd:element ref="ns2:MediaServiceAutoKeyPoints" minOccurs="0"/>
                <xsd:element ref="ns2:MediaServiceKeyPoints"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82011-c13c-4673-9108-9104f0859791"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cURL" ma:index="9" nillable="true" ma:displayName="PublicURL" ma:internalName="PublicURL">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I" ma:index="16" nillable="true" ma:displayName="DOI" ma:format="Dropdown" ma:indexed="true" ma:internalName="DOI">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ublish" ma:index="19" nillable="true" ma:displayName="Publish" ma:default="1"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4d82011-c13c-4673-9108-9104f0859791" xsi:nil="true"/>
    <DOI xmlns="94d82011-c13c-4673-9108-9104f0859791">10.1016/j.envint.2022.107571</DOI>
    <PublicURL xmlns="94d82011-c13c-4673-9108-9104f0859791">https://pub.vito.be/openaccess/2022-Rodriguez-Loureiro et al., Long-term exposure to residential green spaces and site-specific cancer mortality in urban Belgium- A 13-year follow-up cohort study.docx</PublicURL>
    <Publish xmlns="94d82011-c13c-4673-9108-9104f0859791">true</Publish>
  </documentManagement>
</p:properties>
</file>

<file path=customXml/itemProps1.xml><?xml version="1.0" encoding="utf-8"?>
<ds:datastoreItem xmlns:ds="http://schemas.openxmlformats.org/officeDocument/2006/customXml" ds:itemID="{592F8FC7-2C4B-8C4C-BFE0-0C3A7D8617D0}">
  <ds:schemaRefs>
    <ds:schemaRef ds:uri="http://schemas.openxmlformats.org/officeDocument/2006/bibliography"/>
  </ds:schemaRefs>
</ds:datastoreItem>
</file>

<file path=customXml/itemProps2.xml><?xml version="1.0" encoding="utf-8"?>
<ds:datastoreItem xmlns:ds="http://schemas.openxmlformats.org/officeDocument/2006/customXml" ds:itemID="{0D02B417-D0F2-43FE-8E63-9AEE31FC2BA8}"/>
</file>

<file path=customXml/itemProps3.xml><?xml version="1.0" encoding="utf-8"?>
<ds:datastoreItem xmlns:ds="http://schemas.openxmlformats.org/officeDocument/2006/customXml" ds:itemID="{75E4FF80-CABD-4A14-A508-503EAFBE07A5}"/>
</file>

<file path=customXml/itemProps4.xml><?xml version="1.0" encoding="utf-8"?>
<ds:datastoreItem xmlns:ds="http://schemas.openxmlformats.org/officeDocument/2006/customXml" ds:itemID="{CC05BE90-8B38-494B-9FA9-01A3550F4316}"/>
</file>

<file path=docProps/app.xml><?xml version="1.0" encoding="utf-8"?>
<Properties xmlns="http://schemas.openxmlformats.org/officeDocument/2006/extended-properties" xmlns:vt="http://schemas.openxmlformats.org/officeDocument/2006/docPropsVTypes">
  <Template>Normal.dotm</Template>
  <TotalTime>2</TotalTime>
  <Pages>22</Pages>
  <Words>45166</Words>
  <Characters>257447</Characters>
  <Application>Microsoft Office Word</Application>
  <DocSecurity>0</DocSecurity>
  <Lines>2145</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Rodriguez Loureiro</dc:creator>
  <cp:keywords/>
  <dc:description/>
  <cp:lastModifiedBy>Lucia Rodriguez Loureiro</cp:lastModifiedBy>
  <cp:revision>3</cp:revision>
  <dcterms:created xsi:type="dcterms:W3CDTF">2022-11-30T18:23:00Z</dcterms:created>
  <dcterms:modified xsi:type="dcterms:W3CDTF">2022-11-30T18:24:00Z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http://www.zotero.org/styles/bmc-medicine</vt:lpwstr>
  </property>
  <property fmtid="{D5CDD505-2E9C-101B-9397-08002B2CF9AE}" pid="7" name="Mendeley Recent Style Name 2_1">
    <vt:lpwstr>BMC Medicine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http://www.zotero.org/styles/environment-international</vt:lpwstr>
  </property>
  <property fmtid="{D5CDD505-2E9C-101B-9397-08002B2CF9AE}" pid="13" name="Mendeley Recent Style Name 5_1">
    <vt:lpwstr>Environment International</vt:lpwstr>
  </property>
  <property fmtid="{D5CDD505-2E9C-101B-9397-08002B2CF9AE}" pid="14" name="Mendeley Recent Style Id 6_1">
    <vt:lpwstr>http://www.zotero.org/styles/environmental-health-perspectives</vt:lpwstr>
  </property>
  <property fmtid="{D5CDD505-2E9C-101B-9397-08002B2CF9AE}" pid="15" name="Mendeley Recent Style Name 6_1">
    <vt:lpwstr>Environmental Health Perspectives</vt:lpwstr>
  </property>
  <property fmtid="{D5CDD505-2E9C-101B-9397-08002B2CF9AE}" pid="16" name="Mendeley Recent Style Id 7_1">
    <vt:lpwstr>http://www.zotero.org/styles/environmental-pollution</vt:lpwstr>
  </property>
  <property fmtid="{D5CDD505-2E9C-101B-9397-08002B2CF9AE}" pid="17" name="Mendeley Recent Style Name 7_1">
    <vt:lpwstr>Environmental Pollution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65caf896-2754-3f41-b1da-d1ef7a18e3f9</vt:lpwstr>
  </property>
  <property fmtid="{D5CDD505-2E9C-101B-9397-08002B2CF9AE}" pid="24" name="Mendeley Citation Style_1">
    <vt:lpwstr>http://www.zotero.org/styles/environment-international</vt:lpwstr>
  </property>
  <property fmtid="{D5CDD505-2E9C-101B-9397-08002B2CF9AE}" pid="25" name="ContentTypeId">
    <vt:lpwstr>0x010100BA1A4EB05C30D0418E775B1FB91D3600</vt:lpwstr>
  </property>
</Properties>
</file>